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23" w:rsidRDefault="00226C23" w:rsidP="006A4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University of Illinois Springfield</w:t>
      </w:r>
    </w:p>
    <w:p w:rsidR="00F744FA" w:rsidRPr="00226C23" w:rsidRDefault="009940A8" w:rsidP="006A494A">
      <w:pPr>
        <w:jc w:val="center"/>
        <w:rPr>
          <w:b/>
          <w:sz w:val="24"/>
          <w:szCs w:val="24"/>
        </w:rPr>
      </w:pPr>
      <w:r w:rsidRPr="00226C23">
        <w:rPr>
          <w:b/>
          <w:sz w:val="24"/>
          <w:szCs w:val="24"/>
        </w:rPr>
        <w:t>12-Month Career Outcome Results</w:t>
      </w:r>
    </w:p>
    <w:p w:rsidR="009940A8" w:rsidRPr="00226C23" w:rsidRDefault="00DB4F67" w:rsidP="006A49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FY</w:t>
      </w:r>
      <w:r w:rsidR="00E014F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9940A8" w:rsidRPr="00226C23">
        <w:rPr>
          <w:b/>
          <w:sz w:val="24"/>
          <w:szCs w:val="24"/>
        </w:rPr>
        <w:t xml:space="preserve"> </w:t>
      </w:r>
      <w:r w:rsidR="00067EAF">
        <w:rPr>
          <w:b/>
          <w:sz w:val="24"/>
          <w:szCs w:val="24"/>
        </w:rPr>
        <w:t>Master’s</w:t>
      </w:r>
      <w:r w:rsidR="007C08B6">
        <w:rPr>
          <w:b/>
          <w:sz w:val="24"/>
          <w:szCs w:val="24"/>
        </w:rPr>
        <w:t xml:space="preserve"> Degree</w:t>
      </w:r>
      <w:r w:rsidR="009940A8" w:rsidRPr="00226C23">
        <w:rPr>
          <w:b/>
          <w:sz w:val="24"/>
          <w:szCs w:val="24"/>
        </w:rPr>
        <w:t xml:space="preserve"> Cohort</w:t>
      </w:r>
    </w:p>
    <w:p w:rsidR="009940A8" w:rsidRDefault="009940A8" w:rsidP="009940A8"/>
    <w:p w:rsidR="00B77A1F" w:rsidRDefault="00B77A1F" w:rsidP="006A494A">
      <w:pPr>
        <w:rPr>
          <w:sz w:val="24"/>
          <w:szCs w:val="24"/>
        </w:rPr>
      </w:pPr>
    </w:p>
    <w:p w:rsidR="006A494A" w:rsidRPr="006A494A" w:rsidRDefault="009940A8" w:rsidP="006A494A">
      <w:pPr>
        <w:rPr>
          <w:sz w:val="24"/>
          <w:szCs w:val="24"/>
        </w:rPr>
      </w:pPr>
      <w:r w:rsidRPr="006A494A">
        <w:rPr>
          <w:sz w:val="24"/>
          <w:szCs w:val="24"/>
        </w:rPr>
        <w:t>In FY</w:t>
      </w:r>
      <w:r w:rsidR="005A4FA9">
        <w:rPr>
          <w:sz w:val="24"/>
          <w:szCs w:val="24"/>
        </w:rPr>
        <w:t>2</w:t>
      </w:r>
      <w:r w:rsidR="002F1B02">
        <w:rPr>
          <w:sz w:val="24"/>
          <w:szCs w:val="24"/>
        </w:rPr>
        <w:t>2</w:t>
      </w:r>
      <w:r w:rsidRPr="006A494A">
        <w:rPr>
          <w:sz w:val="24"/>
          <w:szCs w:val="24"/>
        </w:rPr>
        <w:t xml:space="preserve">, UIS </w:t>
      </w:r>
      <w:r w:rsidR="006A494A" w:rsidRPr="006A494A">
        <w:rPr>
          <w:sz w:val="24"/>
          <w:szCs w:val="24"/>
        </w:rPr>
        <w:t>conferred</w:t>
      </w:r>
      <w:r w:rsidRPr="006A494A">
        <w:rPr>
          <w:sz w:val="24"/>
          <w:szCs w:val="24"/>
        </w:rPr>
        <w:t xml:space="preserve"> </w:t>
      </w:r>
      <w:r w:rsidR="0052161C">
        <w:rPr>
          <w:sz w:val="24"/>
          <w:szCs w:val="24"/>
        </w:rPr>
        <w:t>477</w:t>
      </w:r>
      <w:r w:rsidR="00067EAF">
        <w:rPr>
          <w:sz w:val="24"/>
          <w:szCs w:val="24"/>
        </w:rPr>
        <w:t xml:space="preserve"> master’s</w:t>
      </w:r>
      <w:r w:rsidRPr="006A494A">
        <w:rPr>
          <w:sz w:val="24"/>
          <w:szCs w:val="24"/>
        </w:rPr>
        <w:t xml:space="preserve"> degrees</w:t>
      </w:r>
      <w:r w:rsidR="0052161C">
        <w:rPr>
          <w:sz w:val="24"/>
          <w:szCs w:val="24"/>
        </w:rPr>
        <w:t xml:space="preserve"> to 476 </w:t>
      </w:r>
      <w:r w:rsidR="002F1B02">
        <w:rPr>
          <w:sz w:val="24"/>
          <w:szCs w:val="24"/>
        </w:rPr>
        <w:t>students</w:t>
      </w:r>
      <w:r w:rsidRPr="006A494A">
        <w:rPr>
          <w:sz w:val="24"/>
          <w:szCs w:val="24"/>
        </w:rPr>
        <w:t xml:space="preserve">.  </w:t>
      </w:r>
      <w:r w:rsidR="006A494A" w:rsidRPr="006A494A">
        <w:rPr>
          <w:sz w:val="24"/>
          <w:szCs w:val="24"/>
        </w:rPr>
        <w:t>UIS utilizes The Outcomes Survey</w:t>
      </w:r>
      <w:r w:rsidR="006A494A">
        <w:rPr>
          <w:sz w:val="24"/>
          <w:szCs w:val="24"/>
        </w:rPr>
        <w:t>®</w:t>
      </w:r>
      <w:r w:rsidR="006A494A" w:rsidRPr="006A494A">
        <w:rPr>
          <w:sz w:val="24"/>
          <w:szCs w:val="24"/>
        </w:rPr>
        <w:t xml:space="preserve"> to gather career outcomes data on its graduates.  Those data are supplemented by data </w:t>
      </w:r>
      <w:r w:rsidR="004709D6">
        <w:rPr>
          <w:sz w:val="24"/>
          <w:szCs w:val="24"/>
        </w:rPr>
        <w:t xml:space="preserve">collected </w:t>
      </w:r>
      <w:r w:rsidR="006A494A" w:rsidRPr="006A494A">
        <w:rPr>
          <w:sz w:val="24"/>
          <w:szCs w:val="24"/>
        </w:rPr>
        <w:t>from LinkedIn accounts (i.e., employment) and from the National Student Clearinghouse (subsequent education).</w:t>
      </w:r>
      <w:r w:rsidR="00226C23">
        <w:rPr>
          <w:sz w:val="24"/>
          <w:szCs w:val="24"/>
        </w:rPr>
        <w:t xml:space="preserve">  The data presented below are based on 12-months post-graduation.  </w:t>
      </w:r>
    </w:p>
    <w:p w:rsidR="006A494A" w:rsidRPr="006A494A" w:rsidRDefault="006A494A" w:rsidP="006A494A">
      <w:pPr>
        <w:rPr>
          <w:sz w:val="24"/>
          <w:szCs w:val="24"/>
        </w:rPr>
      </w:pPr>
    </w:p>
    <w:p w:rsidR="006A494A" w:rsidRDefault="006A494A">
      <w:pPr>
        <w:rPr>
          <w:b/>
          <w:sz w:val="24"/>
          <w:szCs w:val="24"/>
        </w:rPr>
      </w:pPr>
      <w:r w:rsidRPr="008B1A22">
        <w:rPr>
          <w:i/>
          <w:sz w:val="24"/>
          <w:szCs w:val="24"/>
          <w:u w:val="single"/>
        </w:rPr>
        <w:t>Knowledge Rate</w:t>
      </w:r>
      <w:r w:rsidRPr="006A494A">
        <w:rPr>
          <w:sz w:val="24"/>
          <w:szCs w:val="24"/>
        </w:rPr>
        <w:t xml:space="preserve">:  The percentage of the graduating class for whom an outcomes destination is known: </w:t>
      </w:r>
      <w:r w:rsidR="00CA60D7">
        <w:rPr>
          <w:sz w:val="24"/>
          <w:szCs w:val="24"/>
        </w:rPr>
        <w:t>70.4</w:t>
      </w:r>
      <w:r w:rsidR="004F5940" w:rsidRPr="00D179D8">
        <w:rPr>
          <w:b/>
          <w:sz w:val="24"/>
          <w:szCs w:val="24"/>
        </w:rPr>
        <w:t>%</w:t>
      </w:r>
    </w:p>
    <w:p w:rsidR="004F5940" w:rsidRPr="006A494A" w:rsidRDefault="004F5940">
      <w:pPr>
        <w:rPr>
          <w:sz w:val="24"/>
          <w:szCs w:val="24"/>
        </w:rPr>
      </w:pPr>
    </w:p>
    <w:p w:rsidR="006A494A" w:rsidRDefault="006A494A">
      <w:pPr>
        <w:rPr>
          <w:b/>
          <w:sz w:val="24"/>
          <w:szCs w:val="24"/>
        </w:rPr>
      </w:pPr>
      <w:r w:rsidRPr="008B1A22">
        <w:rPr>
          <w:i/>
          <w:sz w:val="24"/>
          <w:szCs w:val="24"/>
          <w:u w:val="single"/>
        </w:rPr>
        <w:t>Career Outcomes Rate</w:t>
      </w:r>
      <w:r w:rsidRPr="006A494A">
        <w:rPr>
          <w:sz w:val="24"/>
          <w:szCs w:val="24"/>
        </w:rPr>
        <w:t xml:space="preserve">:  The percentage of graduates who are employed, performing service, in the military or who are continuing their education, divided by the number of students for whom a career outcome is known: </w:t>
      </w:r>
      <w:r w:rsidR="0052161C">
        <w:rPr>
          <w:sz w:val="24"/>
          <w:szCs w:val="24"/>
        </w:rPr>
        <w:t>93.4</w:t>
      </w:r>
      <w:r w:rsidRPr="000B1F65">
        <w:rPr>
          <w:b/>
          <w:sz w:val="24"/>
          <w:szCs w:val="24"/>
        </w:rPr>
        <w:t>%</w:t>
      </w:r>
    </w:p>
    <w:p w:rsidR="00F308AF" w:rsidRDefault="00F308AF">
      <w:pPr>
        <w:rPr>
          <w:b/>
          <w:sz w:val="24"/>
          <w:szCs w:val="24"/>
        </w:rPr>
      </w:pPr>
    </w:p>
    <w:p w:rsidR="006A494A" w:rsidRDefault="00F308AF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Table 1:  Primary Status Following Graduation (at 12-months)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2484"/>
        <w:gridCol w:w="2587"/>
      </w:tblGrid>
      <w:tr w:rsidR="00B63F61" w:rsidTr="001F5BF4">
        <w:tc>
          <w:tcPr>
            <w:tcW w:w="4860" w:type="dxa"/>
          </w:tcPr>
          <w:p w:rsidR="00B63F61" w:rsidRDefault="00B63F61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:rsidR="00B63F61" w:rsidRPr="00FB183D" w:rsidRDefault="00B63F61" w:rsidP="00FB183D">
            <w:pPr>
              <w:jc w:val="center"/>
              <w:rPr>
                <w:b/>
                <w:sz w:val="24"/>
                <w:szCs w:val="24"/>
              </w:rPr>
            </w:pPr>
            <w:r w:rsidRPr="00FB183D">
              <w:rPr>
                <w:b/>
                <w:sz w:val="24"/>
                <w:szCs w:val="24"/>
              </w:rPr>
              <w:t>Headcount</w:t>
            </w:r>
          </w:p>
        </w:tc>
        <w:tc>
          <w:tcPr>
            <w:tcW w:w="2587" w:type="dxa"/>
          </w:tcPr>
          <w:p w:rsidR="00B63F61" w:rsidRPr="00FB183D" w:rsidRDefault="00B63F61" w:rsidP="00FB183D">
            <w:pPr>
              <w:jc w:val="center"/>
              <w:rPr>
                <w:b/>
                <w:sz w:val="24"/>
                <w:szCs w:val="24"/>
              </w:rPr>
            </w:pPr>
            <w:r w:rsidRPr="00FB183D">
              <w:rPr>
                <w:b/>
                <w:sz w:val="24"/>
                <w:szCs w:val="24"/>
              </w:rPr>
              <w:t>Percentage</w:t>
            </w:r>
          </w:p>
        </w:tc>
      </w:tr>
      <w:tr w:rsidR="00B63F61" w:rsidTr="001F5BF4">
        <w:tc>
          <w:tcPr>
            <w:tcW w:w="4860" w:type="dxa"/>
          </w:tcPr>
          <w:p w:rsidR="00B63F61" w:rsidRDefault="00B63F61" w:rsidP="00544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Full-time</w:t>
            </w:r>
          </w:p>
        </w:tc>
        <w:tc>
          <w:tcPr>
            <w:tcW w:w="2484" w:type="dxa"/>
          </w:tcPr>
          <w:p w:rsidR="00B63F61" w:rsidRDefault="0052161C" w:rsidP="001D1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2587" w:type="dxa"/>
          </w:tcPr>
          <w:p w:rsidR="00B63F61" w:rsidRDefault="0052161C" w:rsidP="00521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86.2</w:t>
            </w:r>
            <w:r w:rsidR="00A16801">
              <w:rPr>
                <w:sz w:val="24"/>
                <w:szCs w:val="24"/>
              </w:rPr>
              <w:t>%</w:t>
            </w:r>
          </w:p>
        </w:tc>
      </w:tr>
      <w:tr w:rsidR="00B63F61" w:rsidTr="001F5BF4">
        <w:tc>
          <w:tcPr>
            <w:tcW w:w="4860" w:type="dxa"/>
          </w:tcPr>
          <w:p w:rsidR="00B63F61" w:rsidRDefault="00B63F61" w:rsidP="00544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Part-time</w:t>
            </w:r>
          </w:p>
        </w:tc>
        <w:tc>
          <w:tcPr>
            <w:tcW w:w="2484" w:type="dxa"/>
          </w:tcPr>
          <w:p w:rsidR="00B63F61" w:rsidRDefault="0052161C" w:rsidP="0052161C">
            <w:pPr>
              <w:jc w:val="center"/>
              <w:rPr>
                <w:sz w:val="24"/>
                <w:szCs w:val="24"/>
              </w:rPr>
            </w:pPr>
            <w:r w:rsidRPr="0052161C">
              <w:rPr>
                <w:color w:val="FFFFFF" w:themeColor="background1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87" w:type="dxa"/>
          </w:tcPr>
          <w:p w:rsidR="00B63F61" w:rsidRDefault="00A16801" w:rsidP="0052161C">
            <w:pPr>
              <w:jc w:val="center"/>
              <w:rPr>
                <w:sz w:val="24"/>
                <w:szCs w:val="24"/>
              </w:rPr>
            </w:pPr>
            <w:r w:rsidRPr="00A16801">
              <w:rPr>
                <w:color w:val="FFFFFF" w:themeColor="background1"/>
                <w:sz w:val="24"/>
                <w:szCs w:val="24"/>
              </w:rPr>
              <w:t>0</w:t>
            </w:r>
            <w:r w:rsidR="0052161C">
              <w:rPr>
                <w:sz w:val="24"/>
                <w:szCs w:val="24"/>
              </w:rPr>
              <w:t>2.4</w:t>
            </w:r>
            <w:r>
              <w:rPr>
                <w:sz w:val="24"/>
                <w:szCs w:val="24"/>
              </w:rPr>
              <w:t>%</w:t>
            </w:r>
          </w:p>
        </w:tc>
      </w:tr>
      <w:tr w:rsidR="00B63F61" w:rsidTr="001F5BF4">
        <w:tc>
          <w:tcPr>
            <w:tcW w:w="4860" w:type="dxa"/>
          </w:tcPr>
          <w:p w:rsidR="00B63F61" w:rsidRDefault="000619AC" w:rsidP="00544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Continuing Education</w:t>
            </w:r>
          </w:p>
        </w:tc>
        <w:tc>
          <w:tcPr>
            <w:tcW w:w="2484" w:type="dxa"/>
          </w:tcPr>
          <w:p w:rsidR="00B63F61" w:rsidRDefault="004B55DA" w:rsidP="001D1201">
            <w:pPr>
              <w:jc w:val="center"/>
              <w:rPr>
                <w:sz w:val="24"/>
                <w:szCs w:val="24"/>
              </w:rPr>
            </w:pPr>
            <w:r w:rsidRPr="005445F6">
              <w:rPr>
                <w:color w:val="FFFFFF" w:themeColor="background1"/>
                <w:sz w:val="24"/>
                <w:szCs w:val="24"/>
              </w:rPr>
              <w:t>0</w:t>
            </w:r>
            <w:r w:rsidR="0052161C">
              <w:rPr>
                <w:sz w:val="24"/>
                <w:szCs w:val="24"/>
              </w:rPr>
              <w:t>11</w:t>
            </w:r>
            <w:r w:rsidR="001F5BF4" w:rsidRPr="005445F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87" w:type="dxa"/>
          </w:tcPr>
          <w:p w:rsidR="00B63F61" w:rsidRDefault="00DB4F67" w:rsidP="001D1201">
            <w:pPr>
              <w:jc w:val="center"/>
              <w:rPr>
                <w:sz w:val="24"/>
                <w:szCs w:val="24"/>
              </w:rPr>
            </w:pPr>
            <w:r w:rsidRPr="00DB4F67">
              <w:rPr>
                <w:color w:val="FFFFFF" w:themeColor="background1"/>
                <w:sz w:val="24"/>
                <w:szCs w:val="24"/>
              </w:rPr>
              <w:t>0</w:t>
            </w:r>
            <w:r w:rsidR="0052161C">
              <w:rPr>
                <w:sz w:val="24"/>
                <w:szCs w:val="24"/>
              </w:rPr>
              <w:t>3.3</w:t>
            </w:r>
            <w:r w:rsidR="00A16801" w:rsidRPr="005445F6">
              <w:rPr>
                <w:sz w:val="24"/>
                <w:szCs w:val="24"/>
              </w:rPr>
              <w:t>%</w:t>
            </w:r>
          </w:p>
        </w:tc>
      </w:tr>
      <w:tr w:rsidR="00B63F61" w:rsidTr="001F5BF4">
        <w:tc>
          <w:tcPr>
            <w:tcW w:w="4860" w:type="dxa"/>
          </w:tcPr>
          <w:p w:rsidR="00B63F61" w:rsidRDefault="00B63F61" w:rsidP="00544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Engaged in Military Service</w:t>
            </w:r>
          </w:p>
        </w:tc>
        <w:tc>
          <w:tcPr>
            <w:tcW w:w="2484" w:type="dxa"/>
          </w:tcPr>
          <w:p w:rsidR="00B63F61" w:rsidRDefault="009A03EA" w:rsidP="00BB4990">
            <w:pPr>
              <w:jc w:val="center"/>
              <w:rPr>
                <w:sz w:val="24"/>
                <w:szCs w:val="24"/>
              </w:rPr>
            </w:pPr>
            <w:r w:rsidRPr="009A03EA">
              <w:rPr>
                <w:color w:val="FFFFFF" w:themeColor="background1"/>
                <w:sz w:val="24"/>
                <w:szCs w:val="24"/>
              </w:rPr>
              <w:t>00</w:t>
            </w:r>
            <w:r w:rsidR="0052161C">
              <w:rPr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B63F61" w:rsidRDefault="00A16801" w:rsidP="00DB4F67">
            <w:pPr>
              <w:jc w:val="center"/>
              <w:rPr>
                <w:sz w:val="24"/>
                <w:szCs w:val="24"/>
              </w:rPr>
            </w:pPr>
            <w:r w:rsidRPr="00A16801">
              <w:rPr>
                <w:color w:val="FFFFFF" w:themeColor="background1"/>
                <w:sz w:val="24"/>
                <w:szCs w:val="24"/>
              </w:rPr>
              <w:t>0</w:t>
            </w:r>
            <w:r w:rsidR="0052161C">
              <w:rPr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>%</w:t>
            </w:r>
          </w:p>
        </w:tc>
      </w:tr>
      <w:tr w:rsidR="00B63F61" w:rsidTr="001F5BF4">
        <w:tc>
          <w:tcPr>
            <w:tcW w:w="4860" w:type="dxa"/>
          </w:tcPr>
          <w:p w:rsidR="00B63F61" w:rsidRDefault="00B63F61" w:rsidP="00544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Engaged in Volunteer Service</w:t>
            </w:r>
          </w:p>
        </w:tc>
        <w:tc>
          <w:tcPr>
            <w:tcW w:w="2484" w:type="dxa"/>
          </w:tcPr>
          <w:p w:rsidR="00B63F61" w:rsidRDefault="009A03EA" w:rsidP="00BB4990">
            <w:pPr>
              <w:jc w:val="center"/>
              <w:rPr>
                <w:sz w:val="24"/>
                <w:szCs w:val="24"/>
              </w:rPr>
            </w:pPr>
            <w:r w:rsidRPr="009A03EA">
              <w:rPr>
                <w:color w:val="FFFFFF" w:themeColor="background1"/>
                <w:sz w:val="24"/>
                <w:szCs w:val="24"/>
              </w:rPr>
              <w:t>0</w:t>
            </w:r>
            <w:r w:rsidR="004B55DA">
              <w:rPr>
                <w:color w:val="FFFFFF" w:themeColor="background1"/>
                <w:sz w:val="24"/>
                <w:szCs w:val="24"/>
              </w:rPr>
              <w:t>0</w:t>
            </w:r>
            <w:r w:rsidR="004B55DA" w:rsidRPr="004B55DA">
              <w:rPr>
                <w:sz w:val="24"/>
                <w:szCs w:val="24"/>
              </w:rPr>
              <w:t>0</w:t>
            </w:r>
          </w:p>
        </w:tc>
        <w:tc>
          <w:tcPr>
            <w:tcW w:w="2587" w:type="dxa"/>
          </w:tcPr>
          <w:p w:rsidR="00B63F61" w:rsidRDefault="00A16801" w:rsidP="00BB4990">
            <w:pPr>
              <w:jc w:val="center"/>
              <w:rPr>
                <w:sz w:val="24"/>
                <w:szCs w:val="24"/>
              </w:rPr>
            </w:pPr>
            <w:r w:rsidRPr="00A16801">
              <w:rPr>
                <w:color w:val="FFFFFF" w:themeColor="background1"/>
                <w:sz w:val="24"/>
                <w:szCs w:val="24"/>
              </w:rPr>
              <w:t>0</w:t>
            </w:r>
            <w:r w:rsidR="007D56FF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%</w:t>
            </w:r>
          </w:p>
        </w:tc>
      </w:tr>
      <w:tr w:rsidR="00B63F61" w:rsidTr="001F5BF4">
        <w:tc>
          <w:tcPr>
            <w:tcW w:w="4860" w:type="dxa"/>
          </w:tcPr>
          <w:p w:rsidR="00B63F61" w:rsidRDefault="00B63F61" w:rsidP="00544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Seeking Additional Education</w:t>
            </w:r>
          </w:p>
        </w:tc>
        <w:tc>
          <w:tcPr>
            <w:tcW w:w="2484" w:type="dxa"/>
          </w:tcPr>
          <w:p w:rsidR="00B63F61" w:rsidRDefault="009A03EA" w:rsidP="00BB4990">
            <w:pPr>
              <w:jc w:val="center"/>
              <w:rPr>
                <w:sz w:val="24"/>
                <w:szCs w:val="24"/>
              </w:rPr>
            </w:pPr>
            <w:r w:rsidRPr="009A03EA">
              <w:rPr>
                <w:color w:val="FFFFFF" w:themeColor="background1"/>
                <w:sz w:val="24"/>
                <w:szCs w:val="24"/>
              </w:rPr>
              <w:t>00</w:t>
            </w:r>
            <w:r w:rsidR="0052161C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B63F61" w:rsidRDefault="00A16801" w:rsidP="0052161C">
            <w:pPr>
              <w:jc w:val="center"/>
              <w:rPr>
                <w:sz w:val="24"/>
                <w:szCs w:val="24"/>
              </w:rPr>
            </w:pPr>
            <w:r w:rsidRPr="00A16801">
              <w:rPr>
                <w:color w:val="FFFFFF" w:themeColor="background1"/>
                <w:sz w:val="24"/>
                <w:szCs w:val="24"/>
              </w:rPr>
              <w:t>0</w:t>
            </w:r>
            <w:r w:rsidR="00067EAF">
              <w:rPr>
                <w:sz w:val="24"/>
                <w:szCs w:val="24"/>
              </w:rPr>
              <w:t>0.</w:t>
            </w:r>
            <w:r w:rsidR="005216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  <w:tr w:rsidR="00B63F61" w:rsidTr="001F5BF4">
        <w:tc>
          <w:tcPr>
            <w:tcW w:w="4860" w:type="dxa"/>
          </w:tcPr>
          <w:p w:rsidR="00B63F61" w:rsidRDefault="00B63F61" w:rsidP="00544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Unemployed and Seeking Employment</w:t>
            </w:r>
          </w:p>
        </w:tc>
        <w:tc>
          <w:tcPr>
            <w:tcW w:w="2484" w:type="dxa"/>
          </w:tcPr>
          <w:p w:rsidR="00B63F61" w:rsidRDefault="009A03EA" w:rsidP="0052161C">
            <w:pPr>
              <w:jc w:val="center"/>
              <w:rPr>
                <w:sz w:val="24"/>
                <w:szCs w:val="24"/>
              </w:rPr>
            </w:pPr>
            <w:r w:rsidRPr="009A03EA">
              <w:rPr>
                <w:color w:val="FFFFFF" w:themeColor="background1"/>
                <w:sz w:val="24"/>
                <w:szCs w:val="24"/>
              </w:rPr>
              <w:t>0</w:t>
            </w:r>
            <w:r w:rsidR="00DB4F67">
              <w:rPr>
                <w:sz w:val="24"/>
                <w:szCs w:val="24"/>
              </w:rPr>
              <w:t>2</w:t>
            </w:r>
            <w:r w:rsidR="0052161C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B63F61" w:rsidRDefault="00A16801" w:rsidP="00DB4F67">
            <w:pPr>
              <w:jc w:val="center"/>
              <w:rPr>
                <w:sz w:val="24"/>
                <w:szCs w:val="24"/>
              </w:rPr>
            </w:pPr>
            <w:r w:rsidRPr="005445F6">
              <w:rPr>
                <w:color w:val="FFFFFF" w:themeColor="background1"/>
                <w:sz w:val="24"/>
                <w:szCs w:val="24"/>
              </w:rPr>
              <w:t>0</w:t>
            </w:r>
            <w:r w:rsidR="0052161C">
              <w:rPr>
                <w:sz w:val="24"/>
                <w:szCs w:val="24"/>
              </w:rPr>
              <w:t>6.3</w:t>
            </w:r>
            <w:r w:rsidRPr="005445F6">
              <w:rPr>
                <w:sz w:val="24"/>
                <w:szCs w:val="24"/>
              </w:rPr>
              <w:t>%</w:t>
            </w:r>
          </w:p>
        </w:tc>
      </w:tr>
      <w:tr w:rsidR="009367E5" w:rsidTr="001F5BF4">
        <w:tc>
          <w:tcPr>
            <w:tcW w:w="4860" w:type="dxa"/>
          </w:tcPr>
          <w:p w:rsidR="009367E5" w:rsidRDefault="009367E5" w:rsidP="005537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484" w:type="dxa"/>
          </w:tcPr>
          <w:p w:rsidR="009367E5" w:rsidRDefault="0052161C" w:rsidP="00544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DB4F67">
              <w:rPr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9367E5" w:rsidRDefault="00827041" w:rsidP="00BB4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100.0%</w:t>
            </w:r>
          </w:p>
        </w:tc>
      </w:tr>
    </w:tbl>
    <w:p w:rsidR="006A494A" w:rsidRDefault="002962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2962FF" w:rsidRPr="00B53D51" w:rsidRDefault="002962FF">
      <w:pPr>
        <w:rPr>
          <w:b/>
          <w:sz w:val="24"/>
          <w:szCs w:val="24"/>
        </w:rPr>
      </w:pPr>
      <w:r w:rsidRPr="00B53D51">
        <w:rPr>
          <w:b/>
          <w:sz w:val="24"/>
          <w:szCs w:val="24"/>
        </w:rPr>
        <w:t>UIS master’s level degree graduates are working in various capacities for a wide array of employers (for example):</w:t>
      </w:r>
    </w:p>
    <w:p w:rsidR="002962FF" w:rsidRPr="00B53D51" w:rsidRDefault="00B53D51" w:rsidP="002962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53D51">
        <w:rPr>
          <w:sz w:val="24"/>
          <w:szCs w:val="24"/>
        </w:rPr>
        <w:t>Legal Assistant with the US Department of Justice</w:t>
      </w:r>
    </w:p>
    <w:p w:rsidR="002962FF" w:rsidRDefault="00B53D51" w:rsidP="002962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Fiscal Resources Manager at a stat</w:t>
      </w:r>
      <w:bookmarkStart w:id="0" w:name="_GoBack"/>
      <w:bookmarkEnd w:id="0"/>
      <w:r>
        <w:rPr>
          <w:sz w:val="24"/>
          <w:szCs w:val="24"/>
        </w:rPr>
        <w:t>e museum</w:t>
      </w:r>
    </w:p>
    <w:p w:rsidR="00B53D51" w:rsidRPr="00B53D51" w:rsidRDefault="00B53D51" w:rsidP="002962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Police Officer for a city of more than 100,000</w:t>
      </w:r>
    </w:p>
    <w:p w:rsidR="002962FF" w:rsidRPr="00B53D51" w:rsidRDefault="00CC5853" w:rsidP="002962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R</w:t>
      </w:r>
      <w:r w:rsidR="00B53D51">
        <w:rPr>
          <w:sz w:val="24"/>
          <w:szCs w:val="24"/>
        </w:rPr>
        <w:t>eporter for a newspaper publisher with a portfolio of 80 newspapers and news websites</w:t>
      </w:r>
    </w:p>
    <w:p w:rsidR="002962FF" w:rsidRPr="00B53D51" w:rsidRDefault="00B53D51" w:rsidP="002962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53D51">
        <w:rPr>
          <w:sz w:val="24"/>
          <w:szCs w:val="24"/>
        </w:rPr>
        <w:t>Accountant</w:t>
      </w:r>
      <w:r w:rsidR="002962FF" w:rsidRPr="00B53D51">
        <w:rPr>
          <w:sz w:val="24"/>
          <w:szCs w:val="24"/>
        </w:rPr>
        <w:t xml:space="preserve"> at an Illinois state government agency</w:t>
      </w:r>
    </w:p>
    <w:p w:rsidR="002962FF" w:rsidRPr="00AE0A84" w:rsidRDefault="00AE0A84" w:rsidP="002962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Catastrophic Planner with a state department of health</w:t>
      </w:r>
    </w:p>
    <w:p w:rsidR="00A522A1" w:rsidRPr="00AE0A84" w:rsidRDefault="00AE0A84" w:rsidP="002962F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0A84">
        <w:rPr>
          <w:sz w:val="24"/>
          <w:szCs w:val="24"/>
        </w:rPr>
        <w:t xml:space="preserve">Operations Manager for a </w:t>
      </w:r>
      <w:r>
        <w:rPr>
          <w:sz w:val="24"/>
          <w:szCs w:val="24"/>
        </w:rPr>
        <w:t xml:space="preserve">company in the </w:t>
      </w:r>
      <w:r w:rsidRPr="00AE0A84">
        <w:rPr>
          <w:sz w:val="24"/>
          <w:szCs w:val="24"/>
        </w:rPr>
        <w:t>beverage</w:t>
      </w:r>
      <w:r w:rsidR="00A522A1" w:rsidRPr="00AE0A84">
        <w:rPr>
          <w:sz w:val="24"/>
          <w:szCs w:val="24"/>
        </w:rPr>
        <w:t xml:space="preserve"> industry</w:t>
      </w:r>
    </w:p>
    <w:p w:rsidR="00A409B1" w:rsidRPr="00AE0A84" w:rsidRDefault="00AE0A84" w:rsidP="002962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Sexual Abuse Therapist for a social services agency</w:t>
      </w:r>
    </w:p>
    <w:p w:rsidR="00590FEF" w:rsidRPr="00AE0A84" w:rsidRDefault="00AE0A84" w:rsidP="002962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Marketing coordinator for a nationwide chain of restaurants</w:t>
      </w:r>
    </w:p>
    <w:p w:rsidR="002962FF" w:rsidRPr="0052161C" w:rsidRDefault="002962FF">
      <w:pPr>
        <w:rPr>
          <w:sz w:val="24"/>
          <w:szCs w:val="24"/>
          <w:highlight w:val="yellow"/>
        </w:rPr>
      </w:pPr>
    </w:p>
    <w:p w:rsidR="002962FF" w:rsidRPr="00CC5853" w:rsidRDefault="0060154A">
      <w:pPr>
        <w:rPr>
          <w:b/>
          <w:sz w:val="24"/>
          <w:szCs w:val="24"/>
        </w:rPr>
      </w:pPr>
      <w:r w:rsidRPr="00CC5853">
        <w:rPr>
          <w:b/>
          <w:sz w:val="24"/>
          <w:szCs w:val="24"/>
        </w:rPr>
        <w:t xml:space="preserve">UIS master’s level degree graduates are pursing Second Masters, Doctoral, </w:t>
      </w:r>
      <w:r w:rsidR="00127353" w:rsidRPr="00CC5853">
        <w:rPr>
          <w:b/>
          <w:sz w:val="24"/>
          <w:szCs w:val="24"/>
        </w:rPr>
        <w:t xml:space="preserve">Juris Doctor (law), </w:t>
      </w:r>
      <w:r w:rsidRPr="00CC5853">
        <w:rPr>
          <w:b/>
          <w:sz w:val="24"/>
          <w:szCs w:val="24"/>
        </w:rPr>
        <w:t>and 1</w:t>
      </w:r>
      <w:r w:rsidRPr="00CC5853">
        <w:rPr>
          <w:b/>
          <w:sz w:val="24"/>
          <w:szCs w:val="24"/>
          <w:vertAlign w:val="superscript"/>
        </w:rPr>
        <w:t>st</w:t>
      </w:r>
      <w:r w:rsidRPr="00CC5853">
        <w:rPr>
          <w:b/>
          <w:sz w:val="24"/>
          <w:szCs w:val="24"/>
        </w:rPr>
        <w:t xml:space="preserve"> Professional degree programs at various universities, including (for example):</w:t>
      </w:r>
    </w:p>
    <w:p w:rsidR="0060154A" w:rsidRPr="00F749C1" w:rsidRDefault="00F749C1" w:rsidP="0060154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Keuka College</w:t>
      </w:r>
      <w:r w:rsidR="00A2052B">
        <w:rPr>
          <w:sz w:val="24"/>
          <w:szCs w:val="24"/>
        </w:rPr>
        <w:t xml:space="preserve"> (New York)</w:t>
      </w:r>
    </w:p>
    <w:p w:rsidR="0060154A" w:rsidRDefault="00CC5853" w:rsidP="0060154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Purdue University Global</w:t>
      </w:r>
    </w:p>
    <w:p w:rsidR="00A2052B" w:rsidRDefault="00A2052B" w:rsidP="0060154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Georgetown University</w:t>
      </w:r>
    </w:p>
    <w:p w:rsidR="00A2052B" w:rsidRDefault="00A2052B" w:rsidP="0060154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Mississippi State University</w:t>
      </w:r>
    </w:p>
    <w:p w:rsidR="00F749C1" w:rsidRPr="00CC5853" w:rsidRDefault="00F749C1" w:rsidP="0060154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Seaton Hill University (Pen</w:t>
      </w:r>
      <w:r w:rsidR="00A2052B">
        <w:rPr>
          <w:sz w:val="24"/>
          <w:szCs w:val="24"/>
        </w:rPr>
        <w:t>nsylvania)</w:t>
      </w:r>
    </w:p>
    <w:p w:rsidR="0060154A" w:rsidRPr="00CC5853" w:rsidRDefault="0060154A" w:rsidP="0060154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C5853">
        <w:rPr>
          <w:sz w:val="24"/>
          <w:szCs w:val="24"/>
        </w:rPr>
        <w:t>University of Illinois Springfield</w:t>
      </w:r>
    </w:p>
    <w:sectPr w:rsidR="0060154A" w:rsidRPr="00CC5853" w:rsidSect="00A409B1">
      <w:pgSz w:w="12240" w:h="15840"/>
      <w:pgMar w:top="1008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81" w:rsidRDefault="00865181" w:rsidP="00865181">
      <w:r>
        <w:separator/>
      </w:r>
    </w:p>
  </w:endnote>
  <w:endnote w:type="continuationSeparator" w:id="0">
    <w:p w:rsidR="00865181" w:rsidRDefault="00865181" w:rsidP="0086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81" w:rsidRDefault="00865181" w:rsidP="00865181">
      <w:r>
        <w:separator/>
      </w:r>
    </w:p>
  </w:footnote>
  <w:footnote w:type="continuationSeparator" w:id="0">
    <w:p w:rsidR="00865181" w:rsidRDefault="00865181" w:rsidP="0086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D03"/>
    <w:multiLevelType w:val="hybridMultilevel"/>
    <w:tmpl w:val="139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F4A"/>
    <w:multiLevelType w:val="hybridMultilevel"/>
    <w:tmpl w:val="7DEC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61FA2"/>
    <w:multiLevelType w:val="hybridMultilevel"/>
    <w:tmpl w:val="748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41355"/>
    <w:multiLevelType w:val="hybridMultilevel"/>
    <w:tmpl w:val="B8C2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70C12"/>
    <w:multiLevelType w:val="hybridMultilevel"/>
    <w:tmpl w:val="65E6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60871"/>
    <w:multiLevelType w:val="hybridMultilevel"/>
    <w:tmpl w:val="32A0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B10F6"/>
    <w:multiLevelType w:val="hybridMultilevel"/>
    <w:tmpl w:val="D960D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E7"/>
    <w:rsid w:val="0000080D"/>
    <w:rsid w:val="000619AC"/>
    <w:rsid w:val="00067EAF"/>
    <w:rsid w:val="00070F5A"/>
    <w:rsid w:val="00093A6A"/>
    <w:rsid w:val="000B1F65"/>
    <w:rsid w:val="000F240E"/>
    <w:rsid w:val="001002A5"/>
    <w:rsid w:val="001217CD"/>
    <w:rsid w:val="00127353"/>
    <w:rsid w:val="001C016D"/>
    <w:rsid w:val="001D1201"/>
    <w:rsid w:val="001E5F52"/>
    <w:rsid w:val="001F5BF4"/>
    <w:rsid w:val="00206129"/>
    <w:rsid w:val="00226C23"/>
    <w:rsid w:val="002951F0"/>
    <w:rsid w:val="002962FF"/>
    <w:rsid w:val="002A4DE8"/>
    <w:rsid w:val="002C63AB"/>
    <w:rsid w:val="002F1B02"/>
    <w:rsid w:val="00336BB0"/>
    <w:rsid w:val="00354F91"/>
    <w:rsid w:val="00377EE7"/>
    <w:rsid w:val="003E0046"/>
    <w:rsid w:val="003F5132"/>
    <w:rsid w:val="003F5228"/>
    <w:rsid w:val="0044209D"/>
    <w:rsid w:val="004709D6"/>
    <w:rsid w:val="004B55DA"/>
    <w:rsid w:val="004F5940"/>
    <w:rsid w:val="0052161C"/>
    <w:rsid w:val="005445F6"/>
    <w:rsid w:val="00553730"/>
    <w:rsid w:val="00590FEF"/>
    <w:rsid w:val="005A4FA9"/>
    <w:rsid w:val="0060154A"/>
    <w:rsid w:val="006A494A"/>
    <w:rsid w:val="006E45A0"/>
    <w:rsid w:val="006F3F14"/>
    <w:rsid w:val="00710979"/>
    <w:rsid w:val="007268E1"/>
    <w:rsid w:val="00787478"/>
    <w:rsid w:val="00792BF8"/>
    <w:rsid w:val="007C08B6"/>
    <w:rsid w:val="007D56FF"/>
    <w:rsid w:val="00827041"/>
    <w:rsid w:val="00865181"/>
    <w:rsid w:val="008B1A22"/>
    <w:rsid w:val="008C5D96"/>
    <w:rsid w:val="009367E5"/>
    <w:rsid w:val="0094586A"/>
    <w:rsid w:val="00971E1C"/>
    <w:rsid w:val="009808BA"/>
    <w:rsid w:val="009940A8"/>
    <w:rsid w:val="009A03EA"/>
    <w:rsid w:val="009D4C8E"/>
    <w:rsid w:val="009E6BD4"/>
    <w:rsid w:val="009F1948"/>
    <w:rsid w:val="009F68BD"/>
    <w:rsid w:val="00A16801"/>
    <w:rsid w:val="00A2052B"/>
    <w:rsid w:val="00A409B1"/>
    <w:rsid w:val="00A522A1"/>
    <w:rsid w:val="00AA6024"/>
    <w:rsid w:val="00AB0645"/>
    <w:rsid w:val="00AE0A84"/>
    <w:rsid w:val="00B067A1"/>
    <w:rsid w:val="00B53D51"/>
    <w:rsid w:val="00B63F61"/>
    <w:rsid w:val="00B6711E"/>
    <w:rsid w:val="00B77A1F"/>
    <w:rsid w:val="00BB4990"/>
    <w:rsid w:val="00C1140B"/>
    <w:rsid w:val="00C46E97"/>
    <w:rsid w:val="00C66F58"/>
    <w:rsid w:val="00CA60D7"/>
    <w:rsid w:val="00CB3CA9"/>
    <w:rsid w:val="00CC5853"/>
    <w:rsid w:val="00D179D8"/>
    <w:rsid w:val="00D576BD"/>
    <w:rsid w:val="00DA35B2"/>
    <w:rsid w:val="00DB4F67"/>
    <w:rsid w:val="00E014F7"/>
    <w:rsid w:val="00EB00C8"/>
    <w:rsid w:val="00F308AF"/>
    <w:rsid w:val="00F34E0D"/>
    <w:rsid w:val="00F744FA"/>
    <w:rsid w:val="00F749C1"/>
    <w:rsid w:val="00F8128B"/>
    <w:rsid w:val="00FB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8DCA1"/>
  <w15:docId w15:val="{B61DCEFA-8228-4FF9-9880-0E8EFA91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0A8"/>
    <w:pPr>
      <w:ind w:left="720"/>
      <w:contextualSpacing/>
    </w:pPr>
  </w:style>
  <w:style w:type="table" w:styleId="TableGrid">
    <w:name w:val="Table Grid"/>
    <w:basedOn w:val="TableNormal"/>
    <w:uiPriority w:val="59"/>
    <w:rsid w:val="00B6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5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81"/>
  </w:style>
  <w:style w:type="paragraph" w:styleId="Footer">
    <w:name w:val="footer"/>
    <w:basedOn w:val="Normal"/>
    <w:link w:val="FooterChar"/>
    <w:uiPriority w:val="99"/>
    <w:unhideWhenUsed/>
    <w:rsid w:val="00865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81"/>
  </w:style>
  <w:style w:type="paragraph" w:styleId="BalloonText">
    <w:name w:val="Balloon Text"/>
    <w:basedOn w:val="Normal"/>
    <w:link w:val="BalloonTextChar"/>
    <w:uiPriority w:val="99"/>
    <w:semiHidden/>
    <w:unhideWhenUsed/>
    <w:rsid w:val="00865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1403-759A-4A68-AE38-A997B6B3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Springfield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Dorman, Laura Gransky</dc:creator>
  <cp:lastModifiedBy>Dorman, Laura G</cp:lastModifiedBy>
  <cp:revision>8</cp:revision>
  <cp:lastPrinted>2019-04-15T14:36:00Z</cp:lastPrinted>
  <dcterms:created xsi:type="dcterms:W3CDTF">2023-04-20T19:29:00Z</dcterms:created>
  <dcterms:modified xsi:type="dcterms:W3CDTF">2023-04-20T20:42:00Z</dcterms:modified>
</cp:coreProperties>
</file>