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225" w:type="dxa"/>
        <w:tblLook w:val="04A0" w:firstRow="1" w:lastRow="0" w:firstColumn="1" w:lastColumn="0" w:noHBand="0" w:noVBand="1"/>
      </w:tblPr>
      <w:tblGrid>
        <w:gridCol w:w="2785"/>
        <w:gridCol w:w="8100"/>
        <w:gridCol w:w="2340"/>
      </w:tblGrid>
      <w:tr w:rsidR="00DB6392" w:rsidRPr="00DB6392" w:rsidTr="00C40BC4">
        <w:trPr>
          <w:trHeight w:val="440"/>
        </w:trPr>
        <w:tc>
          <w:tcPr>
            <w:tcW w:w="2785" w:type="dxa"/>
          </w:tcPr>
          <w:p w:rsidR="00DB6392" w:rsidRPr="00DB6392" w:rsidRDefault="00C40BC4" w:rsidP="00C40BC4">
            <w:pPr>
              <w:jc w:val="center"/>
              <w:rPr>
                <w:b/>
              </w:rPr>
            </w:pPr>
            <w:r>
              <w:rPr>
                <w:b/>
              </w:rPr>
              <w:t xml:space="preserve">2023 </w:t>
            </w:r>
            <w:r w:rsidR="00DB6392" w:rsidRPr="00DB6392">
              <w:rPr>
                <w:b/>
              </w:rPr>
              <w:t>Campus Senate Committee</w:t>
            </w:r>
          </w:p>
        </w:tc>
        <w:tc>
          <w:tcPr>
            <w:tcW w:w="8100" w:type="dxa"/>
          </w:tcPr>
          <w:p w:rsidR="00DB6392" w:rsidRPr="00DB6392" w:rsidRDefault="00DB6392" w:rsidP="00C40BC4">
            <w:pPr>
              <w:jc w:val="center"/>
              <w:rPr>
                <w:b/>
              </w:rPr>
            </w:pPr>
            <w:r w:rsidRPr="00DB6392">
              <w:rPr>
                <w:b/>
              </w:rPr>
              <w:t>Description</w:t>
            </w:r>
          </w:p>
        </w:tc>
        <w:tc>
          <w:tcPr>
            <w:tcW w:w="2340" w:type="dxa"/>
          </w:tcPr>
          <w:p w:rsidR="00DB6392" w:rsidRPr="00DB6392" w:rsidRDefault="00DB6392" w:rsidP="00C40BC4">
            <w:pPr>
              <w:jc w:val="center"/>
              <w:rPr>
                <w:b/>
              </w:rPr>
            </w:pPr>
            <w:r w:rsidRPr="00DB6392">
              <w:rPr>
                <w:b/>
              </w:rPr>
              <w:t>SGA Members interested</w:t>
            </w:r>
          </w:p>
        </w:tc>
      </w:tr>
      <w:tr w:rsidR="00DB6392" w:rsidTr="00C40BC4">
        <w:tc>
          <w:tcPr>
            <w:tcW w:w="2785" w:type="dxa"/>
          </w:tcPr>
          <w:p w:rsidR="00DB6392" w:rsidRDefault="00DB6392">
            <w:r>
              <w:t>Academic Integrity Council</w:t>
            </w:r>
          </w:p>
        </w:tc>
        <w:tc>
          <w:tcPr>
            <w:tcW w:w="8100" w:type="dxa"/>
          </w:tcPr>
          <w:p w:rsidR="00DB6392" w:rsidRPr="00C40BC4" w:rsidRDefault="00DB6392">
            <w:r w:rsidRPr="00C40BC4">
              <w:rPr>
                <w:rFonts w:ascii="Calibri" w:eastAsia="Calibri" w:hAnsi="Calibri" w:cs="Calibri"/>
              </w:rPr>
              <w:t>Promote academic integrity at UIS by overseeing, evaluating, and facilitating implementation and understanding of the Academic Integrity Policy (AIP).</w:t>
            </w:r>
          </w:p>
        </w:tc>
        <w:tc>
          <w:tcPr>
            <w:tcW w:w="2340" w:type="dxa"/>
          </w:tcPr>
          <w:p w:rsidR="00DB6392" w:rsidRDefault="00DB6392"/>
        </w:tc>
      </w:tr>
      <w:tr w:rsidR="00DB6392" w:rsidTr="00C40BC4">
        <w:tc>
          <w:tcPr>
            <w:tcW w:w="2785" w:type="dxa"/>
          </w:tcPr>
          <w:p w:rsidR="00DB6392" w:rsidRDefault="00DB6392">
            <w:r>
              <w:t>Admissions, Recruitment &amp; Retention (CARR)</w:t>
            </w:r>
          </w:p>
        </w:tc>
        <w:tc>
          <w:tcPr>
            <w:tcW w:w="8100" w:type="dxa"/>
          </w:tcPr>
          <w:p w:rsidR="00DB6392" w:rsidRPr="00C40BC4" w:rsidRDefault="00DB6392">
            <w:r w:rsidRPr="00C40BC4">
              <w:rPr>
                <w:rFonts w:ascii="Calibri" w:eastAsia="Calibri" w:hAnsi="Calibri" w:cs="Calibri"/>
              </w:rPr>
              <w:t>Review policies involving academic computing and other technological services and work with other committees and groups within the campus community to monitor budget and planning implications of developments in this rapidly changing area.</w:t>
            </w:r>
          </w:p>
        </w:tc>
        <w:tc>
          <w:tcPr>
            <w:tcW w:w="2340" w:type="dxa"/>
          </w:tcPr>
          <w:p w:rsidR="00DB6392" w:rsidRDefault="00DB6392"/>
        </w:tc>
      </w:tr>
      <w:tr w:rsidR="00C40BC4" w:rsidTr="00C40BC4">
        <w:tc>
          <w:tcPr>
            <w:tcW w:w="2785" w:type="dxa"/>
          </w:tcPr>
          <w:p w:rsidR="00C40BC4" w:rsidRDefault="00C40BC4">
            <w:r>
              <w:t>Assurance of Student Learning (CASL)</w:t>
            </w:r>
          </w:p>
        </w:tc>
        <w:tc>
          <w:tcPr>
            <w:tcW w:w="8100" w:type="dxa"/>
          </w:tcPr>
          <w:p w:rsidR="00C40BC4" w:rsidRPr="00C40BC4" w:rsidRDefault="00C40BC4" w:rsidP="00DB6392">
            <w:pPr>
              <w:rPr>
                <w:rFonts w:eastAsia="Calibri" w:cstheme="minorHAnsi"/>
              </w:rPr>
            </w:pPr>
            <w:r w:rsidRPr="00C40BC4">
              <w:rPr>
                <w:rFonts w:cstheme="minorHAnsi"/>
                <w:color w:val="333333"/>
                <w:shd w:val="clear" w:color="auto" w:fill="FFFFFF"/>
              </w:rPr>
              <w:t>The duties of the Committee on the Assurance of Student Learning are to: 1) study, develop, and encourage policies, procedures, and programs that assess student learning vis-à-vis baccalaureate skills, general education, graduate education, and academic programs; 2) provide continuing oversight to assessment activities; 3) foster best practices of assessment across the campus; 4) communicate and cooperate with other campus and University units and committees on assessment issues; 5) make reports and recommendations to the Senate and other units and officials of the campus and University.</w:t>
            </w:r>
          </w:p>
        </w:tc>
        <w:tc>
          <w:tcPr>
            <w:tcW w:w="2340" w:type="dxa"/>
          </w:tcPr>
          <w:p w:rsidR="00C40BC4" w:rsidRDefault="00C40BC4"/>
        </w:tc>
      </w:tr>
      <w:tr w:rsidR="00DB6392" w:rsidTr="00C40BC4">
        <w:tc>
          <w:tcPr>
            <w:tcW w:w="2785" w:type="dxa"/>
          </w:tcPr>
          <w:p w:rsidR="00DB6392" w:rsidRDefault="00DB6392">
            <w:r>
              <w:t>Diversity, Equal Rights, Opportunity, &amp; Access (ROAD)</w:t>
            </w:r>
          </w:p>
        </w:tc>
        <w:tc>
          <w:tcPr>
            <w:tcW w:w="8100" w:type="dxa"/>
          </w:tcPr>
          <w:p w:rsidR="00DB6392" w:rsidRDefault="00DB6392" w:rsidP="00DB6392">
            <w:r w:rsidRPr="00C40BC4">
              <w:rPr>
                <w:rFonts w:ascii="Calibri" w:eastAsia="Calibri" w:hAnsi="Calibri" w:cs="Calibri"/>
              </w:rPr>
              <w:t>Address unique concerns of women, racial and ethnic minorities, persons with disabilities, and LGBT members of our university community. Foster the recruitment, admission, hiring, and retention of members of these diverse groups in our student body and as employees of the university, as well as the creation of a welcoming, supportive, and inclusive campus environment. Ensure that campus policies, procedures, programs, and facilities are in full compliance with equal opportunity, affirmative action, and ADA federal and state laws</w:t>
            </w:r>
            <w:r>
              <w:rPr>
                <w:rFonts w:ascii="Calibri" w:eastAsia="Calibri" w:hAnsi="Calibri" w:cs="Calibri"/>
                <w:sz w:val="24"/>
                <w:szCs w:val="24"/>
              </w:rPr>
              <w:t xml:space="preserve">. </w:t>
            </w:r>
          </w:p>
        </w:tc>
        <w:tc>
          <w:tcPr>
            <w:tcW w:w="2340" w:type="dxa"/>
          </w:tcPr>
          <w:p w:rsidR="00DB6392" w:rsidRDefault="00DB6392"/>
        </w:tc>
      </w:tr>
      <w:tr w:rsidR="00DB6392" w:rsidTr="00C40BC4">
        <w:tc>
          <w:tcPr>
            <w:tcW w:w="2785" w:type="dxa"/>
          </w:tcPr>
          <w:p w:rsidR="00DB6392" w:rsidRDefault="00DB6392">
            <w:r>
              <w:t>General Education Council (GECO)</w:t>
            </w:r>
          </w:p>
        </w:tc>
        <w:tc>
          <w:tcPr>
            <w:tcW w:w="8100" w:type="dxa"/>
          </w:tcPr>
          <w:p w:rsidR="00DB6392" w:rsidRPr="00C40BC4" w:rsidRDefault="00DB6392" w:rsidP="00DB6392">
            <w:r w:rsidRPr="00C40BC4">
              <w:rPr>
                <w:rFonts w:ascii="Calibri" w:eastAsia="Calibri" w:hAnsi="Calibri" w:cs="Calibri"/>
              </w:rPr>
              <w:t>Promote excellence in general education at UIS by facilitating development, approval, and evaluation of courses; develop policies and rules for implementation of the curriculum; recommend to the Undergraduate Council and the Campus Senate policy changes of the general education curriculum.</w:t>
            </w:r>
          </w:p>
        </w:tc>
        <w:tc>
          <w:tcPr>
            <w:tcW w:w="2340" w:type="dxa"/>
          </w:tcPr>
          <w:p w:rsidR="00DB6392" w:rsidRDefault="00DB6392"/>
        </w:tc>
      </w:tr>
      <w:tr w:rsidR="00DB6392" w:rsidTr="00C40BC4">
        <w:tc>
          <w:tcPr>
            <w:tcW w:w="2785" w:type="dxa"/>
          </w:tcPr>
          <w:p w:rsidR="00DB6392" w:rsidRDefault="00DB6392">
            <w:r>
              <w:t>Graduate Council</w:t>
            </w:r>
          </w:p>
        </w:tc>
        <w:tc>
          <w:tcPr>
            <w:tcW w:w="8100" w:type="dxa"/>
          </w:tcPr>
          <w:p w:rsidR="00DB6392" w:rsidRPr="00C40BC4" w:rsidRDefault="00DB6392">
            <w:r w:rsidRPr="00C40BC4">
              <w:rPr>
                <w:rFonts w:ascii="Calibri" w:eastAsia="Calibri" w:hAnsi="Calibri" w:cs="Calibri"/>
              </w:rPr>
              <w:t>Promote excellence in graduate education at UIS by reviewing, evaluating and facilitating development of academic standards for the graduate programs. Review, evaluate, and facilitate the development of present and proposed graduate curricula. Generally the Senator for Graduate Students serves on this committee</w:t>
            </w:r>
            <w:r w:rsidR="00C40BC4" w:rsidRPr="00C40BC4">
              <w:rPr>
                <w:rFonts w:ascii="Calibri" w:eastAsia="Calibri" w:hAnsi="Calibri" w:cs="Calibri"/>
              </w:rPr>
              <w:t>.</w:t>
            </w:r>
          </w:p>
        </w:tc>
        <w:tc>
          <w:tcPr>
            <w:tcW w:w="2340" w:type="dxa"/>
          </w:tcPr>
          <w:p w:rsidR="00DB6392" w:rsidRDefault="00DB6392"/>
        </w:tc>
      </w:tr>
      <w:tr w:rsidR="00DB6392" w:rsidTr="00C40BC4">
        <w:tc>
          <w:tcPr>
            <w:tcW w:w="2785" w:type="dxa"/>
          </w:tcPr>
          <w:p w:rsidR="00DB6392" w:rsidRDefault="00DB6392">
            <w:r>
              <w:t>Intercollegiate Athletics (IAC)</w:t>
            </w:r>
          </w:p>
        </w:tc>
        <w:tc>
          <w:tcPr>
            <w:tcW w:w="8100" w:type="dxa"/>
          </w:tcPr>
          <w:p w:rsidR="00DB6392" w:rsidRPr="00C40BC4" w:rsidRDefault="00DB6392" w:rsidP="00DB6392">
            <w:r w:rsidRPr="00C40BC4">
              <w:rPr>
                <w:rFonts w:ascii="Calibri" w:eastAsia="Calibri" w:hAnsi="Calibri" w:cs="Calibri"/>
              </w:rPr>
              <w:t xml:space="preserve">Provide advice on campus athletic needs, including the creation of new sports </w:t>
            </w:r>
            <w:proofErr w:type="gramStart"/>
            <w:r w:rsidRPr="00C40BC4">
              <w:rPr>
                <w:rFonts w:ascii="Calibri" w:eastAsia="Calibri" w:hAnsi="Calibri" w:cs="Calibri"/>
              </w:rPr>
              <w:t>teams.,</w:t>
            </w:r>
            <w:proofErr w:type="gramEnd"/>
            <w:r w:rsidRPr="00C40BC4">
              <w:rPr>
                <w:rFonts w:ascii="Calibri" w:eastAsia="Calibri" w:hAnsi="Calibri" w:cs="Calibri"/>
              </w:rPr>
              <w:t xml:space="preserve"> athletics budget, sports configuration, gender equality/Title IX, facilities, and ethnic equality. Review and recommend policy or procedures on student-athlete welfare issues such as the academic performance of students, including progress on degrees </w:t>
            </w:r>
            <w:r w:rsidRPr="00C40BC4">
              <w:rPr>
                <w:rFonts w:ascii="Calibri" w:eastAsia="Calibri" w:hAnsi="Calibri" w:cs="Calibri"/>
              </w:rPr>
              <w:lastRenderedPageBreak/>
              <w:t>and graduation rates, summary of statements from student-athlete exit interviews, and personal conduct of student-athletes.</w:t>
            </w:r>
          </w:p>
        </w:tc>
        <w:tc>
          <w:tcPr>
            <w:tcW w:w="2340" w:type="dxa"/>
          </w:tcPr>
          <w:p w:rsidR="00DB6392" w:rsidRDefault="00DB6392"/>
        </w:tc>
      </w:tr>
      <w:tr w:rsidR="00DB6392" w:rsidTr="00C40BC4">
        <w:tc>
          <w:tcPr>
            <w:tcW w:w="2785" w:type="dxa"/>
          </w:tcPr>
          <w:p w:rsidR="00DB6392" w:rsidRDefault="00DB6392">
            <w:r>
              <w:t>Library</w:t>
            </w:r>
          </w:p>
        </w:tc>
        <w:tc>
          <w:tcPr>
            <w:tcW w:w="8100" w:type="dxa"/>
          </w:tcPr>
          <w:p w:rsidR="00DB6392" w:rsidRPr="00C40BC4" w:rsidRDefault="00DB6392">
            <w:r w:rsidRPr="00C40BC4">
              <w:rPr>
                <w:rFonts w:ascii="Calibri" w:eastAsia="Calibri" w:hAnsi="Calibri" w:cs="Calibri"/>
              </w:rPr>
              <w:t>Advise the Dean of the Campus Library on the appointment of the Library budget on the formulation and execution of the policies governing the operation the Library. Together with the Library Executive Committee, the committee shall advise the Chancellor on the appointment of the Dean of the Campus Library.</w:t>
            </w:r>
          </w:p>
        </w:tc>
        <w:tc>
          <w:tcPr>
            <w:tcW w:w="2340" w:type="dxa"/>
          </w:tcPr>
          <w:p w:rsidR="00DB6392" w:rsidRDefault="00DB6392"/>
        </w:tc>
      </w:tr>
      <w:tr w:rsidR="00DB6392" w:rsidTr="00C40BC4">
        <w:tc>
          <w:tcPr>
            <w:tcW w:w="2785" w:type="dxa"/>
          </w:tcPr>
          <w:p w:rsidR="00DB6392" w:rsidRDefault="00DB6392">
            <w:r>
              <w:t>Student Discipline</w:t>
            </w:r>
          </w:p>
        </w:tc>
        <w:tc>
          <w:tcPr>
            <w:tcW w:w="8100" w:type="dxa"/>
          </w:tcPr>
          <w:p w:rsidR="00DB6392" w:rsidRPr="00C40BC4" w:rsidRDefault="00DB6392" w:rsidP="00DB6392">
            <w:r w:rsidRPr="00C40BC4">
              <w:rPr>
                <w:rFonts w:ascii="Calibri" w:eastAsia="Calibri" w:hAnsi="Calibri" w:cs="Calibri"/>
              </w:rPr>
              <w:t xml:space="preserve">Be responsible for the conduct of the judicial functions of the student discipline and appeals system in accord with The Student Disciplinary Code and the Student Grievance Code, the University Statutes, and with rules and policies established by the Board of Trustees and the Senate. </w:t>
            </w:r>
          </w:p>
        </w:tc>
        <w:tc>
          <w:tcPr>
            <w:tcW w:w="2340" w:type="dxa"/>
          </w:tcPr>
          <w:p w:rsidR="00DB6392" w:rsidRDefault="00DB6392"/>
        </w:tc>
      </w:tr>
      <w:tr w:rsidR="00DB6392" w:rsidTr="00C40BC4">
        <w:tc>
          <w:tcPr>
            <w:tcW w:w="2785" w:type="dxa"/>
          </w:tcPr>
          <w:p w:rsidR="00DB6392" w:rsidRDefault="00DB6392">
            <w:r>
              <w:t>Sustainability</w:t>
            </w:r>
          </w:p>
        </w:tc>
        <w:tc>
          <w:tcPr>
            <w:tcW w:w="8100" w:type="dxa"/>
          </w:tcPr>
          <w:p w:rsidR="00DB6392" w:rsidRPr="00C40BC4" w:rsidRDefault="00C40BC4">
            <w:r w:rsidRPr="00C40BC4">
              <w:rPr>
                <w:rFonts w:ascii="Calibri" w:eastAsia="Calibri" w:hAnsi="Calibri" w:cs="Calibri"/>
              </w:rPr>
              <w:t>Provide leadership for sustainability issues on the UIS campus and in other communities. Sustainability refers to practices designed to meet the needs of the present without compromising the availability of future generation to meet their own needs. This includes teaching, research and practice in areas including, but not limited to, policy development, building design and construction, waste management and recycling, energy production and use, water use, and transportation.</w:t>
            </w:r>
          </w:p>
        </w:tc>
        <w:tc>
          <w:tcPr>
            <w:tcW w:w="2340" w:type="dxa"/>
          </w:tcPr>
          <w:p w:rsidR="00DB6392" w:rsidRDefault="00DB6392"/>
        </w:tc>
      </w:tr>
      <w:tr w:rsidR="00924C56" w:rsidTr="00C40BC4">
        <w:tc>
          <w:tcPr>
            <w:tcW w:w="2785" w:type="dxa"/>
          </w:tcPr>
          <w:p w:rsidR="00924C56" w:rsidRDefault="00924C56">
            <w:r>
              <w:t>Undergraduate Council</w:t>
            </w:r>
          </w:p>
        </w:tc>
        <w:tc>
          <w:tcPr>
            <w:tcW w:w="8100" w:type="dxa"/>
          </w:tcPr>
          <w:p w:rsidR="00924C56" w:rsidRPr="00C40BC4" w:rsidRDefault="00924C56" w:rsidP="00C40BC4">
            <w:pPr>
              <w:rPr>
                <w:rFonts w:eastAsia="Times New Roman" w:cstheme="minorHAnsi"/>
                <w:color w:val="333333"/>
                <w:shd w:val="clear" w:color="auto" w:fill="FFFFFF"/>
              </w:rPr>
            </w:pPr>
            <w:r w:rsidRPr="00C40BC4">
              <w:rPr>
                <w:rFonts w:ascii="Calibri" w:eastAsia="Calibri" w:hAnsi="Calibri" w:cs="Calibri"/>
              </w:rPr>
              <w:t>Promote excellence in undergraduate education at UIS by reviewing, evaluating and facilitating development of academic standards for the undergraduate programs. Review, evaluate, and facilitate the development of present and proposed undergraduate curricula. Generally the Senator for Undergraduate Students serves on this committee.</w:t>
            </w:r>
          </w:p>
        </w:tc>
        <w:tc>
          <w:tcPr>
            <w:tcW w:w="2340" w:type="dxa"/>
          </w:tcPr>
          <w:p w:rsidR="00924C56" w:rsidRDefault="00924C56"/>
        </w:tc>
      </w:tr>
      <w:tr w:rsidR="00C40BC4" w:rsidTr="00C40BC4">
        <w:tc>
          <w:tcPr>
            <w:tcW w:w="2785" w:type="dxa"/>
          </w:tcPr>
          <w:p w:rsidR="00C40BC4" w:rsidRDefault="00C40BC4">
            <w:r>
              <w:t>Ad Hoc Commission to Review Senate Composition</w:t>
            </w:r>
          </w:p>
        </w:tc>
        <w:tc>
          <w:tcPr>
            <w:tcW w:w="8100" w:type="dxa"/>
          </w:tcPr>
          <w:p w:rsidR="00C40BC4" w:rsidRPr="00C40BC4" w:rsidRDefault="00C40BC4" w:rsidP="00C40BC4">
            <w:pPr>
              <w:rPr>
                <w:rFonts w:ascii="Calibri" w:eastAsia="Calibri" w:hAnsi="Calibri" w:cs="Calibri"/>
              </w:rPr>
            </w:pPr>
            <w:r w:rsidRPr="00C40BC4">
              <w:rPr>
                <w:rFonts w:eastAsia="Times New Roman" w:cstheme="minorHAnsi"/>
                <w:color w:val="333333"/>
                <w:shd w:val="clear" w:color="auto" w:fill="FFFFFF"/>
              </w:rPr>
              <w:t>The commission shall elect a chair, review the University of Illinois governance documents (including the Statutes, and the Constitutions of the three universities), and prepare a report assessing the size and composition of the Campus Senate and the extent to which it appropriately represents and includes constituencies on campus. The commission should consult with the Campus Senate Executive Committee, the Student Government Association, the Civil Service Advisory Council, and the Academic Professional Advisory Council. The commission’s report, including any recommendations for changes to the size and/or composition of the Campus Senate, shall be made public and distributed</w:t>
            </w:r>
            <w:r w:rsidRPr="00C40BC4">
              <w:rPr>
                <w:rFonts w:ascii="Arial" w:eastAsia="Times New Roman" w:hAnsi="Arial" w:cs="Arial"/>
                <w:color w:val="333333"/>
                <w:shd w:val="clear" w:color="auto" w:fill="FFFFFF"/>
              </w:rPr>
              <w:t>.</w:t>
            </w:r>
          </w:p>
        </w:tc>
        <w:tc>
          <w:tcPr>
            <w:tcW w:w="2340" w:type="dxa"/>
          </w:tcPr>
          <w:p w:rsidR="00C40BC4" w:rsidRDefault="00924C56" w:rsidP="00924C56">
            <w:r>
              <w:t>(One graduate student and one undergraduate student nee</w:t>
            </w:r>
            <w:bookmarkStart w:id="0" w:name="_GoBack"/>
            <w:bookmarkEnd w:id="0"/>
            <w:r>
              <w:t>ded)</w:t>
            </w:r>
          </w:p>
        </w:tc>
      </w:tr>
    </w:tbl>
    <w:p w:rsidR="005C4870" w:rsidRDefault="005C4870"/>
    <w:sectPr w:rsidR="005C4870" w:rsidSect="00DB639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92"/>
    <w:rsid w:val="005C4870"/>
    <w:rsid w:val="00924C56"/>
    <w:rsid w:val="00C40BC4"/>
    <w:rsid w:val="00DB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AC08"/>
  <w15:chartTrackingRefBased/>
  <w15:docId w15:val="{7CF2994F-738A-4769-8629-54A61A24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Cynthia</dc:creator>
  <cp:keywords/>
  <dc:description/>
  <cp:lastModifiedBy>Thompson, Cynthia</cp:lastModifiedBy>
  <cp:revision>1</cp:revision>
  <dcterms:created xsi:type="dcterms:W3CDTF">2023-08-24T20:01:00Z</dcterms:created>
  <dcterms:modified xsi:type="dcterms:W3CDTF">2023-08-24T20:24:00Z</dcterms:modified>
</cp:coreProperties>
</file>