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A68" w:rsidRDefault="005C4A68" w:rsidP="005C4A68">
      <w:pPr>
        <w:keepNext/>
        <w:jc w:val="center"/>
      </w:pPr>
      <w:r>
        <w:rPr>
          <w:rFonts w:ascii="Times New Roman" w:eastAsia="Times New Roman" w:hAnsi="Times New Roman" w:cs="Times New Roman"/>
          <w:b/>
          <w:sz w:val="28"/>
          <w:szCs w:val="28"/>
        </w:rPr>
        <w:t>University of Illinois Springfield</w:t>
      </w:r>
      <w:r>
        <w:rPr>
          <w:noProof/>
        </w:rPr>
        <w:drawing>
          <wp:anchor distT="114300" distB="114300" distL="114300" distR="114300" simplePos="0" relativeHeight="251659264" behindDoc="0" locked="0" layoutInCell="0" allowOverlap="1" wp14:anchorId="78238554" wp14:editId="05BED776">
            <wp:simplePos x="0" y="0"/>
            <wp:positionH relativeFrom="margin">
              <wp:posOffset>-114300</wp:posOffset>
            </wp:positionH>
            <wp:positionV relativeFrom="paragraph">
              <wp:posOffset>0</wp:posOffset>
            </wp:positionV>
            <wp:extent cx="1543050" cy="1543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pic:spPr>
                </pic:pic>
              </a:graphicData>
            </a:graphic>
            <wp14:sizeRelH relativeFrom="page">
              <wp14:pctWidth>0</wp14:pctWidth>
            </wp14:sizeRelH>
            <wp14:sizeRelV relativeFrom="page">
              <wp14:pctHeight>0</wp14:pctHeight>
            </wp14:sizeRelV>
          </wp:anchor>
        </w:drawing>
      </w:r>
    </w:p>
    <w:p w:rsidR="005C4A68" w:rsidRDefault="005C4A68" w:rsidP="005C4A68">
      <w:pPr>
        <w:keepNex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 Government Association Resolution #</w:t>
      </w:r>
      <w:r w:rsidR="00D47685">
        <w:rPr>
          <w:rFonts w:ascii="Times New Roman" w:eastAsia="Times New Roman" w:hAnsi="Times New Roman" w:cs="Times New Roman"/>
          <w:b/>
          <w:sz w:val="28"/>
          <w:szCs w:val="28"/>
        </w:rPr>
        <w:t>4</w:t>
      </w:r>
      <w:bookmarkStart w:id="0" w:name="_GoBack"/>
      <w:bookmarkEnd w:id="0"/>
    </w:p>
    <w:p w:rsidR="005C4A68" w:rsidRDefault="005C4A68" w:rsidP="005C4A68">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 Title: Amendment to Article III of the Bylaws</w:t>
      </w:r>
    </w:p>
    <w:p w:rsidR="005C4A68" w:rsidRDefault="005C4A68" w:rsidP="005C4A68">
      <w:pPr>
        <w:keepNext/>
        <w:jc w:val="center"/>
        <w:rPr>
          <w:rFonts w:ascii="Times New Roman" w:hAnsi="Times New Roman" w:cs="Times New Roman"/>
          <w:sz w:val="24"/>
        </w:rPr>
      </w:pPr>
      <w:r>
        <w:rPr>
          <w:rFonts w:ascii="Times New Roman" w:eastAsia="Times New Roman" w:hAnsi="Times New Roman" w:cs="Times New Roman"/>
          <w:sz w:val="24"/>
          <w:szCs w:val="24"/>
        </w:rPr>
        <w:t xml:space="preserve">Resolution Sponsor: </w:t>
      </w:r>
      <w:r>
        <w:rPr>
          <w:rFonts w:ascii="Times New Roman" w:hAnsi="Times New Roman" w:cs="Times New Roman"/>
          <w:sz w:val="24"/>
        </w:rPr>
        <w:t>Parliamentarian Molly Harms</w:t>
      </w:r>
    </w:p>
    <w:p w:rsidR="005C4A68" w:rsidRDefault="005C4A68" w:rsidP="005C4A68">
      <w:pPr>
        <w:keepNext/>
        <w:jc w:val="center"/>
        <w:rPr>
          <w:rFonts w:ascii="Times New Roman" w:hAnsi="Times New Roman" w:cs="Times New Roman"/>
          <w:sz w:val="24"/>
        </w:rPr>
      </w:pPr>
    </w:p>
    <w:p w:rsidR="005C4A68" w:rsidRDefault="005C4A68" w:rsidP="005C4A68">
      <w:pPr>
        <w:keepNext/>
        <w:jc w:val="center"/>
        <w:rPr>
          <w:rFonts w:ascii="Times New Roman" w:eastAsia="Times New Roman" w:hAnsi="Times New Roman" w:cs="Times New Roman"/>
          <w:sz w:val="24"/>
          <w:szCs w:val="24"/>
        </w:rPr>
      </w:pPr>
    </w:p>
    <w:p w:rsidR="005C4A68" w:rsidRDefault="005C4A68" w:rsidP="005C4A68">
      <w:pPr>
        <w:keepNext/>
        <w:jc w:val="center"/>
      </w:pPr>
    </w:p>
    <w:p w:rsidR="005C4A68" w:rsidRDefault="005C4A68" w:rsidP="005C4A68">
      <w:pPr>
        <w:autoSpaceDE w:val="0"/>
        <w:autoSpaceDN w:val="0"/>
        <w:adjustRightInd w:val="0"/>
        <w:spacing w:line="240" w:lineRule="auto"/>
        <w:rPr>
          <w:rFonts w:asciiTheme="minorHAnsi" w:hAnsiTheme="minorHAnsi" w:cstheme="minorHAnsi"/>
        </w:rPr>
      </w:pPr>
    </w:p>
    <w:p w:rsidR="005C4A68" w:rsidRDefault="005C4A68" w:rsidP="005C4A68">
      <w:pPr>
        <w:autoSpaceDE w:val="0"/>
        <w:autoSpaceDN w:val="0"/>
        <w:adjustRightInd w:val="0"/>
        <w:spacing w:line="240" w:lineRule="auto"/>
        <w:rPr>
          <w:rFonts w:asciiTheme="minorHAnsi" w:hAnsiTheme="minorHAnsi" w:cstheme="minorHAnsi"/>
          <w:u w:val="single"/>
        </w:rPr>
      </w:pPr>
    </w:p>
    <w:p w:rsidR="005C4A68" w:rsidRDefault="005C4A68" w:rsidP="005C4A6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30"/>
        <w:rPr>
          <w:rFonts w:ascii="Times New Roman" w:eastAsia="Arial Unicode MS" w:hAnsi="Times New Roman"/>
          <w:sz w:val="24"/>
        </w:rPr>
      </w:pPr>
      <w:r w:rsidRPr="004A1A29">
        <w:rPr>
          <w:rFonts w:ascii="Times New Roman" w:eastAsia="Arial Unicode MS" w:hAnsi="Times New Roman"/>
          <w:sz w:val="24"/>
        </w:rPr>
        <w:t xml:space="preserve">Whereas, SGA voted to establish the Diversity, </w:t>
      </w:r>
      <w:r w:rsidR="00D47685">
        <w:rPr>
          <w:rFonts w:ascii="Times New Roman" w:eastAsia="Arial Unicode MS" w:hAnsi="Times New Roman"/>
          <w:sz w:val="24"/>
        </w:rPr>
        <w:t>Equity &amp; Inclusion</w:t>
      </w:r>
      <w:r w:rsidRPr="004A1A29">
        <w:rPr>
          <w:rFonts w:ascii="Times New Roman" w:eastAsia="Arial Unicode MS" w:hAnsi="Times New Roman"/>
          <w:sz w:val="24"/>
        </w:rPr>
        <w:t xml:space="preserve"> Committee in Fall of 2021, an</w:t>
      </w:r>
      <w:r>
        <w:rPr>
          <w:rFonts w:ascii="Times New Roman" w:eastAsia="Arial Unicode MS" w:hAnsi="Times New Roman"/>
          <w:sz w:val="24"/>
        </w:rPr>
        <w:t>d</w:t>
      </w:r>
    </w:p>
    <w:p w:rsidR="005C4A68" w:rsidRPr="004A1A29" w:rsidRDefault="005C4A68" w:rsidP="005C4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Arial Unicode MS" w:hAnsi="Times New Roman"/>
          <w:sz w:val="24"/>
        </w:rPr>
      </w:pPr>
    </w:p>
    <w:p w:rsidR="005C4A68" w:rsidRDefault="005C4A68" w:rsidP="005C4A6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30"/>
        <w:rPr>
          <w:rFonts w:ascii="Times New Roman" w:eastAsia="Arial Unicode MS" w:hAnsi="Times New Roman"/>
          <w:sz w:val="24"/>
        </w:rPr>
      </w:pPr>
      <w:r>
        <w:rPr>
          <w:rFonts w:ascii="Times New Roman" w:eastAsia="Arial Unicode MS" w:hAnsi="Times New Roman"/>
          <w:sz w:val="24"/>
        </w:rPr>
        <w:t>Whereas, this committee, along with its policies and procedures, is not yet represented in the SGA Bylaws, and</w:t>
      </w:r>
    </w:p>
    <w:p w:rsidR="005C4A68" w:rsidRPr="004A1A29" w:rsidRDefault="005C4A68" w:rsidP="005C4A68">
      <w:pPr>
        <w:pStyle w:val="ListParagraph"/>
        <w:rPr>
          <w:rFonts w:ascii="Times New Roman" w:eastAsia="Arial Unicode MS" w:hAnsi="Times New Roman"/>
          <w:sz w:val="24"/>
        </w:rPr>
      </w:pPr>
    </w:p>
    <w:p w:rsidR="005C4A68" w:rsidRDefault="005C4A68" w:rsidP="005C4A6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30"/>
        <w:rPr>
          <w:rFonts w:ascii="Times New Roman" w:eastAsia="Arial Unicode MS" w:hAnsi="Times New Roman"/>
          <w:sz w:val="24"/>
        </w:rPr>
      </w:pPr>
      <w:r>
        <w:rPr>
          <w:rFonts w:ascii="Times New Roman" w:eastAsia="Arial Unicode MS" w:hAnsi="Times New Roman"/>
          <w:sz w:val="24"/>
        </w:rPr>
        <w:t>Whereas, it is important for all SGA standing committees to have their policies and procedures outlined in the Bylaws for informational and compliancy reasons, and</w:t>
      </w:r>
    </w:p>
    <w:p w:rsidR="005C4A68" w:rsidRDefault="005C4A68" w:rsidP="005C4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Arial Unicode MS" w:hAnsi="Times New Roman"/>
          <w:sz w:val="24"/>
        </w:rPr>
      </w:pPr>
    </w:p>
    <w:p w:rsidR="005C4A68" w:rsidRDefault="005C4A68" w:rsidP="005C4A6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30"/>
        <w:rPr>
          <w:rFonts w:ascii="Times New Roman" w:eastAsia="Arial Unicode MS" w:hAnsi="Times New Roman"/>
          <w:sz w:val="24"/>
        </w:rPr>
      </w:pPr>
      <w:r w:rsidRPr="00347AAA">
        <w:rPr>
          <w:rFonts w:ascii="Times New Roman" w:eastAsia="Arial Unicode MS" w:hAnsi="Times New Roman"/>
          <w:sz w:val="24"/>
        </w:rPr>
        <w:t xml:space="preserve">Whereas, </w:t>
      </w:r>
      <w:r>
        <w:rPr>
          <w:rFonts w:ascii="Times New Roman" w:eastAsia="Arial Unicode MS" w:hAnsi="Times New Roman"/>
          <w:sz w:val="24"/>
        </w:rPr>
        <w:t>the committee has worked together to write Bylaws that they feel accurately represent the committee.</w:t>
      </w:r>
    </w:p>
    <w:p w:rsidR="005C4A68" w:rsidRPr="004A1A29" w:rsidRDefault="005C4A68" w:rsidP="005C4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Arial Unicode MS" w:hAnsi="Times New Roman"/>
          <w:sz w:val="24"/>
        </w:rPr>
      </w:pPr>
    </w:p>
    <w:p w:rsidR="005C4A68" w:rsidRPr="005C4A68" w:rsidRDefault="005C4A68" w:rsidP="005C4A6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630"/>
        <w:rPr>
          <w:rFonts w:ascii="Times New Roman" w:eastAsia="Arial Unicode MS" w:hAnsi="Times New Roman"/>
          <w:sz w:val="24"/>
        </w:rPr>
      </w:pPr>
      <w:r w:rsidRPr="000F6CFB">
        <w:rPr>
          <w:rFonts w:ascii="Times New Roman" w:eastAsia="Arial Unicode MS" w:hAnsi="Times New Roman"/>
          <w:b/>
          <w:sz w:val="24"/>
        </w:rPr>
        <w:t>Therefore, Be It Resolved,</w:t>
      </w:r>
      <w:r w:rsidRPr="000F6CFB">
        <w:rPr>
          <w:rFonts w:ascii="Times New Roman" w:eastAsia="Arial Unicode MS" w:hAnsi="Times New Roman"/>
          <w:sz w:val="24"/>
        </w:rPr>
        <w:t xml:space="preserve"> </w:t>
      </w:r>
      <w:r>
        <w:rPr>
          <w:rFonts w:ascii="Times New Roman" w:eastAsia="Arial Unicode MS" w:hAnsi="Times New Roman"/>
          <w:sz w:val="24"/>
        </w:rPr>
        <w:t>that SGA enacts the following amendment to Article III of the Bylaws:</w:t>
      </w:r>
    </w:p>
    <w:p w:rsidR="005C4A68" w:rsidRPr="005C4A68" w:rsidRDefault="005C4A68" w:rsidP="005C4A68">
      <w:pPr>
        <w:pStyle w:val="NormalWeb"/>
        <w:spacing w:before="240" w:beforeAutospacing="0" w:after="240" w:afterAutospacing="0"/>
        <w:jc w:val="both"/>
        <w:rPr>
          <w:color w:val="FF0000"/>
        </w:rPr>
      </w:pPr>
      <w:r w:rsidRPr="005C4A68">
        <w:rPr>
          <w:color w:val="FF0000"/>
        </w:rPr>
        <w:t>Section 10. Diversity, Equity, and Inclusion Committee</w:t>
      </w:r>
    </w:p>
    <w:p w:rsidR="005C4A68" w:rsidRPr="005C4A68" w:rsidRDefault="005C4A68" w:rsidP="005C4A68">
      <w:pPr>
        <w:pStyle w:val="NormalWeb"/>
        <w:spacing w:before="240" w:beforeAutospacing="0" w:after="240" w:afterAutospacing="0"/>
        <w:ind w:left="720"/>
        <w:jc w:val="both"/>
        <w:rPr>
          <w:color w:val="FF0000"/>
        </w:rPr>
      </w:pPr>
      <w:r w:rsidRPr="005C4A68">
        <w:rPr>
          <w:color w:val="FF0000"/>
        </w:rPr>
        <w:t xml:space="preserve">Clause A. The SGA DEI Committee will consist of one chair or two co-chairs from SGA. SGA members will be asked to volunteer; if there are no volunteers, the SGA President will appoint someone and the SGA voting members will vote to confirm the appointment; if there are more than two volunteers, SGA will vote, with the </w:t>
      </w:r>
      <w:r>
        <w:rPr>
          <w:color w:val="FF0000"/>
        </w:rPr>
        <w:t>top-two vote receiving</w:t>
      </w:r>
      <w:r w:rsidRPr="005C4A68">
        <w:rPr>
          <w:color w:val="FF0000"/>
        </w:rPr>
        <w:t xml:space="preserve"> candidates becoming co-chairs.</w:t>
      </w:r>
    </w:p>
    <w:p w:rsidR="005C4A68" w:rsidRPr="005C4A68" w:rsidRDefault="005C4A68" w:rsidP="005C4A68">
      <w:pPr>
        <w:pStyle w:val="NormalWeb"/>
        <w:spacing w:before="240" w:beforeAutospacing="0" w:after="240" w:afterAutospacing="0"/>
        <w:ind w:left="720"/>
        <w:jc w:val="both"/>
        <w:rPr>
          <w:color w:val="FF0000"/>
        </w:rPr>
      </w:pPr>
      <w:r w:rsidRPr="005C4A68">
        <w:rPr>
          <w:color w:val="FF0000"/>
        </w:rPr>
        <w:t>Clause B. Members of the DEI committee can be from SGA, but membership is not limited to SGA members; any student attending UIS can apply to serve on the committee. The chair(s) reserve(s) the right to grant or deny membership.</w:t>
      </w:r>
    </w:p>
    <w:p w:rsidR="005C4A68" w:rsidRDefault="005C4A68" w:rsidP="005C4A68">
      <w:pPr>
        <w:pStyle w:val="NormalWeb"/>
        <w:spacing w:before="240" w:beforeAutospacing="0" w:after="240" w:afterAutospacing="0"/>
        <w:ind w:left="720"/>
        <w:jc w:val="both"/>
        <w:rPr>
          <w:color w:val="FF0000"/>
        </w:rPr>
      </w:pPr>
      <w:r w:rsidRPr="005C4A68">
        <w:rPr>
          <w:color w:val="FF0000"/>
        </w:rPr>
        <w:t>Clause C. The DEI Committee shall be responsible for ensuring all SGA events are inclusive; organizing trainings for SGA members on diversity, equity, and inclusion; and anything else seen fit by the chair(s).</w:t>
      </w:r>
    </w:p>
    <w:p w:rsidR="00627AEA" w:rsidRPr="005C4A68" w:rsidRDefault="00627AEA" w:rsidP="005C4A68">
      <w:pPr>
        <w:pStyle w:val="NormalWeb"/>
        <w:spacing w:before="240" w:beforeAutospacing="0" w:after="240" w:afterAutospacing="0"/>
        <w:ind w:left="720"/>
        <w:jc w:val="both"/>
        <w:rPr>
          <w:color w:val="FF0000"/>
        </w:rPr>
      </w:pPr>
      <w:r>
        <w:rPr>
          <w:color w:val="FF0000"/>
        </w:rPr>
        <w:t xml:space="preserve">Clause D. The DEI Committee shall be responsible for </w:t>
      </w:r>
      <w:r w:rsidR="001C3749">
        <w:rPr>
          <w:color w:val="FF0000"/>
        </w:rPr>
        <w:t>submitting</w:t>
      </w:r>
      <w:r>
        <w:rPr>
          <w:color w:val="FF0000"/>
        </w:rPr>
        <w:t xml:space="preserve"> </w:t>
      </w:r>
      <w:r w:rsidR="009766B3">
        <w:rPr>
          <w:color w:val="FF0000"/>
        </w:rPr>
        <w:t xml:space="preserve">a resolution </w:t>
      </w:r>
      <w:r w:rsidR="001C3749">
        <w:rPr>
          <w:color w:val="FF0000"/>
        </w:rPr>
        <w:t xml:space="preserve">to SGA </w:t>
      </w:r>
      <w:r w:rsidR="009766B3">
        <w:rPr>
          <w:color w:val="FF0000"/>
        </w:rPr>
        <w:t xml:space="preserve">that contains </w:t>
      </w:r>
      <w:r>
        <w:rPr>
          <w:color w:val="FF0000"/>
        </w:rPr>
        <w:t xml:space="preserve">an updated list of event hosting guidelines at the beginning of every </w:t>
      </w:r>
      <w:r w:rsidR="00235C4E">
        <w:rPr>
          <w:color w:val="FF0000"/>
        </w:rPr>
        <w:t>f</w:t>
      </w:r>
      <w:r>
        <w:rPr>
          <w:color w:val="FF0000"/>
        </w:rPr>
        <w:t>all semester</w:t>
      </w:r>
      <w:r w:rsidR="009766B3">
        <w:rPr>
          <w:color w:val="FF0000"/>
        </w:rPr>
        <w:t>, which will be adopted for the year, following SGA approval.</w:t>
      </w:r>
    </w:p>
    <w:p w:rsidR="005C4A68" w:rsidRPr="005C4A68" w:rsidRDefault="005C4A68" w:rsidP="005C4A68">
      <w:pPr>
        <w:pStyle w:val="NormalWeb"/>
        <w:spacing w:before="240" w:beforeAutospacing="0" w:after="240" w:afterAutospacing="0"/>
        <w:ind w:left="720"/>
        <w:jc w:val="both"/>
        <w:rPr>
          <w:color w:val="FF0000"/>
        </w:rPr>
      </w:pPr>
      <w:r w:rsidRPr="005C4A68">
        <w:rPr>
          <w:color w:val="FF0000"/>
        </w:rPr>
        <w:t xml:space="preserve">Clause </w:t>
      </w:r>
      <w:r w:rsidR="00627AEA">
        <w:rPr>
          <w:color w:val="FF0000"/>
        </w:rPr>
        <w:t>E</w:t>
      </w:r>
      <w:r w:rsidRPr="005C4A68">
        <w:rPr>
          <w:color w:val="FF0000"/>
        </w:rPr>
        <w:t>.  The DEI Committee shall meet at the discretion of the chair(s) at least once per month throughout the semester.</w:t>
      </w:r>
    </w:p>
    <w:p w:rsidR="005C4A68" w:rsidRDefault="005C4A68" w:rsidP="005C4A68">
      <w:pPr>
        <w:pStyle w:val="NormalWeb"/>
        <w:spacing w:before="240" w:beforeAutospacing="0" w:after="240" w:afterAutospacing="0"/>
        <w:ind w:left="720"/>
        <w:jc w:val="both"/>
        <w:rPr>
          <w:color w:val="FF0000"/>
        </w:rPr>
      </w:pPr>
      <w:r w:rsidRPr="005C4A68">
        <w:rPr>
          <w:color w:val="FF0000"/>
        </w:rPr>
        <w:lastRenderedPageBreak/>
        <w:t xml:space="preserve">Clause </w:t>
      </w:r>
      <w:r w:rsidR="00627AEA">
        <w:rPr>
          <w:color w:val="FF0000"/>
        </w:rPr>
        <w:t>F</w:t>
      </w:r>
      <w:r w:rsidRPr="005C4A68">
        <w:rPr>
          <w:color w:val="FF0000"/>
        </w:rPr>
        <w:t>.  In the event that committee members find that the chair(s) is/are acting against the interest of the committee, the members will bring complaints to the SGA Parliamentarian and President who will proceed with disciplinary action at their discretion. If the Parliamentarian and President believe the chair(s) should be removed, then a majority vote from SGA will be required for removal.</w:t>
      </w:r>
    </w:p>
    <w:p w:rsidR="00565465" w:rsidRPr="005C4A68" w:rsidRDefault="00565465" w:rsidP="005C4A68">
      <w:pPr>
        <w:pStyle w:val="NormalWeb"/>
        <w:spacing w:before="240" w:beforeAutospacing="0" w:after="240" w:afterAutospacing="0"/>
        <w:ind w:left="720"/>
        <w:jc w:val="both"/>
        <w:rPr>
          <w:color w:val="FF0000"/>
        </w:rPr>
      </w:pPr>
    </w:p>
    <w:p w:rsidR="005C4A68" w:rsidRDefault="005C4A68" w:rsidP="005C4A68"/>
    <w:p w:rsidR="005C4A68" w:rsidRDefault="005C4A68" w:rsidP="005C4A68"/>
    <w:p w:rsidR="005C4A68" w:rsidRDefault="005C4A68" w:rsidP="005C4A68">
      <w:pPr>
        <w:keepNext/>
        <w:spacing w:after="140" w:line="288" w:lineRule="auto"/>
        <w:jc w:val="both"/>
      </w:pPr>
      <w:r>
        <w:rPr>
          <w:rFonts w:ascii="Times New Roman" w:eastAsia="Times New Roman" w:hAnsi="Times New Roman" w:cs="Times New Roman"/>
          <w:sz w:val="24"/>
          <w:szCs w:val="24"/>
        </w:rPr>
        <w:t>_______________________                                                                _______________________</w:t>
      </w:r>
    </w:p>
    <w:p w:rsidR="005C4A68" w:rsidRDefault="005C4A68" w:rsidP="005C4A68">
      <w:pPr>
        <w:keepNext/>
        <w:spacing w:after="160" w:line="288" w:lineRule="auto"/>
        <w:jc w:val="both"/>
      </w:pPr>
      <w:r>
        <w:rPr>
          <w:rFonts w:ascii="Times New Roman" w:eastAsia="Times New Roman" w:hAnsi="Times New Roman" w:cs="Times New Roman"/>
          <w:sz w:val="24"/>
          <w:szCs w:val="24"/>
        </w:rPr>
        <w:t xml:space="preserve">     Signature of Secretary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Signature of President</w:t>
      </w:r>
    </w:p>
    <w:p w:rsidR="005C4A68" w:rsidRDefault="005C4A68" w:rsidP="005C4A68"/>
    <w:p w:rsidR="005C4A68" w:rsidRDefault="005C4A68" w:rsidP="005C4A68"/>
    <w:p w:rsidR="005C4A68" w:rsidRDefault="005C4A68" w:rsidP="005C4A68"/>
    <w:p w:rsidR="005C4A68" w:rsidRDefault="005C4A68" w:rsidP="005C4A68"/>
    <w:p w:rsidR="005C4A68" w:rsidRDefault="005C4A68" w:rsidP="005C4A68"/>
    <w:p w:rsidR="00D3012F" w:rsidRDefault="00D3012F"/>
    <w:sectPr w:rsidR="00D301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CF" w:rsidRDefault="006D07CF" w:rsidP="009766B3">
      <w:pPr>
        <w:spacing w:line="240" w:lineRule="auto"/>
      </w:pPr>
      <w:r>
        <w:separator/>
      </w:r>
    </w:p>
  </w:endnote>
  <w:endnote w:type="continuationSeparator" w:id="0">
    <w:p w:rsidR="006D07CF" w:rsidRDefault="006D07CF" w:rsidP="009766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Microsoft YaHei"/>
    <w:charset w:val="00"/>
    <w:family w:val="auto"/>
    <w:pitch w:val="variable"/>
    <w:sig w:usb0="A00002FF" w:usb1="5000205B" w:usb2="00000002" w:usb3="00000000" w:csb0="00000007" w:csb1="00000000"/>
  </w:font>
  <w:font w:name="ヒラギノ角ゴ Pro W3">
    <w:altName w:val="MS Gothic"/>
    <w:charset w:val="4E"/>
    <w:family w:val="auto"/>
    <w:pitch w:val="variable"/>
    <w:sig w:usb0="00000000"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CF" w:rsidRDefault="006D07CF" w:rsidP="009766B3">
      <w:pPr>
        <w:spacing w:line="240" w:lineRule="auto"/>
      </w:pPr>
      <w:r>
        <w:separator/>
      </w:r>
    </w:p>
  </w:footnote>
  <w:footnote w:type="continuationSeparator" w:id="0">
    <w:p w:rsidR="006D07CF" w:rsidRDefault="006D07CF" w:rsidP="009766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76595"/>
    <w:multiLevelType w:val="hybridMultilevel"/>
    <w:tmpl w:val="888A8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68"/>
    <w:rsid w:val="001C3749"/>
    <w:rsid w:val="00235C4E"/>
    <w:rsid w:val="002851AD"/>
    <w:rsid w:val="00331034"/>
    <w:rsid w:val="00545612"/>
    <w:rsid w:val="00565465"/>
    <w:rsid w:val="005C4A68"/>
    <w:rsid w:val="00620266"/>
    <w:rsid w:val="00627AEA"/>
    <w:rsid w:val="00634876"/>
    <w:rsid w:val="006D07CF"/>
    <w:rsid w:val="00843402"/>
    <w:rsid w:val="00875171"/>
    <w:rsid w:val="008A18FD"/>
    <w:rsid w:val="009766B3"/>
    <w:rsid w:val="00C8375C"/>
    <w:rsid w:val="00D3012F"/>
    <w:rsid w:val="00D4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7F71"/>
  <w15:chartTrackingRefBased/>
  <w15:docId w15:val="{69659F22-E058-42C3-9F0C-692CA841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A68"/>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5C4A68"/>
    <w:pPr>
      <w:spacing w:line="312" w:lineRule="auto"/>
      <w:ind w:left="720"/>
      <w:contextualSpacing/>
    </w:pPr>
    <w:rPr>
      <w:rFonts w:ascii="Helvetica Neue Light" w:eastAsia="ヒラギノ角ゴ Pro W3" w:hAnsi="Helvetica Neue Light" w:cs="Times New Roman"/>
      <w:sz w:val="18"/>
      <w:szCs w:val="24"/>
    </w:rPr>
  </w:style>
  <w:style w:type="paragraph" w:styleId="NormalWeb">
    <w:name w:val="Normal (Web)"/>
    <w:basedOn w:val="Normal"/>
    <w:uiPriority w:val="99"/>
    <w:unhideWhenUsed/>
    <w:rsid w:val="005C4A6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9766B3"/>
    <w:pPr>
      <w:tabs>
        <w:tab w:val="center" w:pos="4680"/>
        <w:tab w:val="right" w:pos="9360"/>
      </w:tabs>
      <w:spacing w:line="240" w:lineRule="auto"/>
    </w:pPr>
  </w:style>
  <w:style w:type="character" w:customStyle="1" w:styleId="HeaderChar">
    <w:name w:val="Header Char"/>
    <w:basedOn w:val="DefaultParagraphFont"/>
    <w:link w:val="Header"/>
    <w:uiPriority w:val="99"/>
    <w:rsid w:val="009766B3"/>
    <w:rPr>
      <w:rFonts w:ascii="Arial" w:eastAsia="Arial" w:hAnsi="Arial" w:cs="Arial"/>
      <w:color w:val="000000"/>
    </w:rPr>
  </w:style>
  <w:style w:type="paragraph" w:styleId="Footer">
    <w:name w:val="footer"/>
    <w:basedOn w:val="Normal"/>
    <w:link w:val="FooterChar"/>
    <w:uiPriority w:val="99"/>
    <w:unhideWhenUsed/>
    <w:rsid w:val="009766B3"/>
    <w:pPr>
      <w:tabs>
        <w:tab w:val="center" w:pos="4680"/>
        <w:tab w:val="right" w:pos="9360"/>
      </w:tabs>
      <w:spacing w:line="240" w:lineRule="auto"/>
    </w:pPr>
  </w:style>
  <w:style w:type="character" w:customStyle="1" w:styleId="FooterChar">
    <w:name w:val="Footer Char"/>
    <w:basedOn w:val="DefaultParagraphFont"/>
    <w:link w:val="Footer"/>
    <w:uiPriority w:val="99"/>
    <w:rsid w:val="009766B3"/>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8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Harms, Molly G</dc:creator>
  <cp:keywords/>
  <dc:description/>
  <cp:lastModifiedBy>Thompson, Cynthia</cp:lastModifiedBy>
  <cp:revision>10</cp:revision>
  <dcterms:created xsi:type="dcterms:W3CDTF">2022-10-08T03:47:00Z</dcterms:created>
  <dcterms:modified xsi:type="dcterms:W3CDTF">2022-10-20T21:07:00Z</dcterms:modified>
</cp:coreProperties>
</file>