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477E" w:rsidRPr="00376CD5" w:rsidRDefault="0046477E" w:rsidP="002E4C02">
      <w:pPr>
        <w:spacing w:after="0"/>
        <w:ind w:left="-900"/>
        <w:jc w:val="center"/>
        <w:rPr>
          <w:sz w:val="36"/>
          <w:szCs w:val="36"/>
        </w:rPr>
      </w:pPr>
    </w:p>
    <w:p w:rsidR="0046477E" w:rsidRPr="00376CD5" w:rsidRDefault="0046477E" w:rsidP="002E4C02">
      <w:pPr>
        <w:spacing w:after="0"/>
        <w:ind w:left="-900"/>
        <w:jc w:val="center"/>
        <w:rPr>
          <w:sz w:val="36"/>
          <w:szCs w:val="36"/>
        </w:rPr>
      </w:pPr>
    </w:p>
    <w:p w:rsidR="0046477E" w:rsidRPr="00376CD5" w:rsidRDefault="0046477E" w:rsidP="002E4C02">
      <w:pPr>
        <w:spacing w:after="0"/>
        <w:ind w:left="-900"/>
        <w:jc w:val="center"/>
        <w:rPr>
          <w:sz w:val="36"/>
          <w:szCs w:val="36"/>
        </w:rPr>
      </w:pPr>
    </w:p>
    <w:p w:rsidR="0046477E" w:rsidRPr="00376CD5" w:rsidRDefault="0046477E" w:rsidP="002E4C02">
      <w:pPr>
        <w:spacing w:after="0"/>
        <w:ind w:left="-900"/>
        <w:jc w:val="center"/>
        <w:rPr>
          <w:sz w:val="36"/>
          <w:szCs w:val="36"/>
        </w:rPr>
      </w:pPr>
      <w:r w:rsidRPr="00376CD5">
        <w:rPr>
          <w:sz w:val="36"/>
          <w:szCs w:val="36"/>
        </w:rPr>
        <w:t>Conducted by the:</w:t>
      </w:r>
    </w:p>
    <w:p w:rsidR="0046477E" w:rsidRPr="00376CD5" w:rsidRDefault="0046477E" w:rsidP="002E4C02">
      <w:pPr>
        <w:spacing w:after="0"/>
        <w:ind w:left="-900"/>
        <w:jc w:val="center"/>
        <w:rPr>
          <w:sz w:val="36"/>
          <w:szCs w:val="36"/>
        </w:rPr>
      </w:pPr>
    </w:p>
    <w:p w:rsidR="0046477E" w:rsidRPr="00376CD5" w:rsidRDefault="0046477E" w:rsidP="002E4C02">
      <w:pPr>
        <w:spacing w:after="0"/>
        <w:ind w:left="-900"/>
        <w:jc w:val="center"/>
        <w:rPr>
          <w:sz w:val="36"/>
          <w:szCs w:val="36"/>
        </w:rPr>
      </w:pPr>
      <w:r w:rsidRPr="00376CD5">
        <w:rPr>
          <w:noProof/>
          <w:sz w:val="36"/>
          <w:szCs w:val="36"/>
        </w:rPr>
        <w:drawing>
          <wp:inline distT="0" distB="0" distL="0" distR="0" wp14:anchorId="4C8AC2B5" wp14:editId="025C6822">
            <wp:extent cx="3389376" cy="1746504"/>
            <wp:effectExtent l="0" t="0" r="190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Owordmark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9376" cy="1746504"/>
                    </a:xfrm>
                    <a:prstGeom prst="rect">
                      <a:avLst/>
                    </a:prstGeom>
                  </pic:spPr>
                </pic:pic>
              </a:graphicData>
            </a:graphic>
          </wp:inline>
        </w:drawing>
      </w:r>
    </w:p>
    <w:p w:rsidR="0046477E" w:rsidRPr="00376CD5" w:rsidRDefault="0046477E" w:rsidP="002E4C02">
      <w:pPr>
        <w:spacing w:after="0"/>
        <w:ind w:left="-900"/>
        <w:jc w:val="center"/>
        <w:rPr>
          <w:sz w:val="36"/>
          <w:szCs w:val="36"/>
        </w:rPr>
      </w:pPr>
    </w:p>
    <w:p w:rsidR="0046477E" w:rsidRPr="00376CD5" w:rsidRDefault="0046477E" w:rsidP="002E4C02">
      <w:pPr>
        <w:spacing w:after="0"/>
        <w:ind w:left="-900"/>
        <w:jc w:val="center"/>
        <w:rPr>
          <w:b/>
          <w:sz w:val="36"/>
          <w:szCs w:val="36"/>
        </w:rPr>
      </w:pPr>
    </w:p>
    <w:p w:rsidR="0046477E" w:rsidRPr="00376CD5" w:rsidRDefault="0046477E" w:rsidP="002E4C02">
      <w:pPr>
        <w:spacing w:after="0"/>
        <w:ind w:left="-900"/>
        <w:jc w:val="center"/>
        <w:rPr>
          <w:sz w:val="32"/>
          <w:szCs w:val="32"/>
        </w:rPr>
      </w:pPr>
      <w:r w:rsidRPr="00376CD5">
        <w:rPr>
          <w:sz w:val="32"/>
          <w:szCs w:val="32"/>
        </w:rPr>
        <w:t xml:space="preserve">Sponsored by the University </w:t>
      </w:r>
      <w:proofErr w:type="gramStart"/>
      <w:r w:rsidRPr="00376CD5">
        <w:rPr>
          <w:sz w:val="32"/>
          <w:szCs w:val="32"/>
        </w:rPr>
        <w:t>of</w:t>
      </w:r>
      <w:proofErr w:type="gramEnd"/>
      <w:r w:rsidRPr="00376CD5">
        <w:rPr>
          <w:sz w:val="32"/>
          <w:szCs w:val="32"/>
        </w:rPr>
        <w:t xml:space="preserve"> Illinois Springfield Chancellor’s Office, </w:t>
      </w:r>
    </w:p>
    <w:p w:rsidR="0046477E" w:rsidRPr="00376CD5" w:rsidRDefault="0046477E" w:rsidP="002E4C02">
      <w:pPr>
        <w:spacing w:after="0"/>
        <w:ind w:left="-900"/>
        <w:jc w:val="center"/>
        <w:rPr>
          <w:sz w:val="32"/>
          <w:szCs w:val="32"/>
        </w:rPr>
      </w:pPr>
      <w:proofErr w:type="gramStart"/>
      <w:r w:rsidRPr="00376CD5">
        <w:rPr>
          <w:sz w:val="32"/>
          <w:szCs w:val="32"/>
        </w:rPr>
        <w:t>the</w:t>
      </w:r>
      <w:proofErr w:type="gramEnd"/>
      <w:r w:rsidRPr="00376CD5">
        <w:rPr>
          <w:sz w:val="32"/>
          <w:szCs w:val="32"/>
        </w:rPr>
        <w:t xml:space="preserve"> Center for State Policy and Leadership at UIS, </w:t>
      </w:r>
    </w:p>
    <w:p w:rsidR="0046477E" w:rsidRPr="00376CD5" w:rsidRDefault="0046477E" w:rsidP="002E4C02">
      <w:pPr>
        <w:spacing w:after="0"/>
        <w:ind w:left="-900"/>
        <w:jc w:val="center"/>
        <w:rPr>
          <w:sz w:val="32"/>
          <w:szCs w:val="32"/>
        </w:rPr>
      </w:pPr>
      <w:proofErr w:type="gramStart"/>
      <w:r w:rsidRPr="00376CD5">
        <w:rPr>
          <w:sz w:val="32"/>
          <w:szCs w:val="32"/>
        </w:rPr>
        <w:t>and</w:t>
      </w:r>
      <w:proofErr w:type="gramEnd"/>
      <w:r w:rsidRPr="00376CD5">
        <w:rPr>
          <w:sz w:val="32"/>
          <w:szCs w:val="32"/>
        </w:rPr>
        <w:t xml:space="preserve"> The Greater Springfield Chamber of Commerce</w:t>
      </w:r>
    </w:p>
    <w:p w:rsidR="0046477E" w:rsidRPr="00376CD5" w:rsidRDefault="0046477E" w:rsidP="002E4C02">
      <w:pPr>
        <w:spacing w:after="0"/>
        <w:ind w:left="-900"/>
        <w:rPr>
          <w:sz w:val="32"/>
          <w:szCs w:val="32"/>
        </w:rPr>
      </w:pPr>
      <w:r w:rsidRPr="00376CD5">
        <w:rPr>
          <w:sz w:val="32"/>
          <w:szCs w:val="32"/>
        </w:rPr>
        <w:br w:type="page"/>
      </w:r>
    </w:p>
    <w:p w:rsidR="0046477E" w:rsidRPr="00376CD5" w:rsidRDefault="0046477E" w:rsidP="002E4C02">
      <w:pPr>
        <w:spacing w:after="0"/>
        <w:jc w:val="center"/>
        <w:rPr>
          <w:b/>
          <w:sz w:val="28"/>
          <w:szCs w:val="28"/>
        </w:rPr>
        <w:sectPr w:rsidR="0046477E" w:rsidRPr="00376CD5" w:rsidSect="002E4C02">
          <w:footerReference w:type="default" r:id="rId10"/>
          <w:pgSz w:w="12240" w:h="15840"/>
          <w:pgMar w:top="1440" w:right="540" w:bottom="1440" w:left="1440" w:header="720" w:footer="720" w:gutter="0"/>
          <w:pgNumType w:start="1"/>
          <w:cols w:space="720"/>
          <w:titlePg/>
          <w:docGrid w:linePitch="360"/>
        </w:sectPr>
      </w:pPr>
    </w:p>
    <w:p w:rsidR="0046477E" w:rsidRPr="00376CD5" w:rsidRDefault="0046477E" w:rsidP="002E4C02">
      <w:pPr>
        <w:spacing w:after="0"/>
        <w:jc w:val="center"/>
        <w:rPr>
          <w:b/>
          <w:sz w:val="28"/>
          <w:szCs w:val="28"/>
        </w:rPr>
      </w:pPr>
      <w:r w:rsidRPr="00376CD5">
        <w:rPr>
          <w:b/>
          <w:sz w:val="28"/>
          <w:szCs w:val="28"/>
        </w:rPr>
        <w:lastRenderedPageBreak/>
        <w:t>Methodology</w:t>
      </w:r>
    </w:p>
    <w:p w:rsidR="005D13F1" w:rsidRPr="00376CD5" w:rsidRDefault="005D13F1" w:rsidP="002E4C02">
      <w:pPr>
        <w:spacing w:after="0"/>
        <w:rPr>
          <w:sz w:val="24"/>
        </w:rPr>
      </w:pPr>
    </w:p>
    <w:p w:rsidR="0046477E" w:rsidRPr="00376CD5" w:rsidRDefault="0046477E" w:rsidP="002E4C02">
      <w:pPr>
        <w:spacing w:after="0"/>
      </w:pPr>
      <w:r w:rsidRPr="00376CD5">
        <w:t>The Sangamon County Economic Outlook Survey is a m</w:t>
      </w:r>
      <w:r w:rsidR="00EB099F" w:rsidRPr="00376CD5">
        <w:t>ulti-</w:t>
      </w:r>
      <w:r w:rsidRPr="00376CD5">
        <w:t>mode survey (mail and phone) examining the economic perceptions, expectations, and evaluations of Sangamon County businesses</w:t>
      </w:r>
      <w:r w:rsidR="00822C07" w:rsidRPr="00376CD5">
        <w:t>, public,</w:t>
      </w:r>
      <w:r w:rsidRPr="00376CD5">
        <w:t xml:space="preserve"> and non-profit organizations. The survey has been conducted biannually (March and September) since 2008</w:t>
      </w:r>
      <w:r w:rsidRPr="00376CD5">
        <w:rPr>
          <w:rStyle w:val="FootnoteReference"/>
        </w:rPr>
        <w:footnoteReference w:id="1"/>
      </w:r>
      <w:r w:rsidRPr="00376CD5">
        <w:t xml:space="preserve"> with the goal of providing a longitudinal analysis of the local economy through the lens of area organizations. The original sample included all known businesses/firms/organizations in Sangamon County provided by the Greater Springfield Chamber of Commerce in the fall of 2007. The </w:t>
      </w:r>
      <w:proofErr w:type="gramStart"/>
      <w:r w:rsidR="00EB099F" w:rsidRPr="00376CD5">
        <w:t>Fall</w:t>
      </w:r>
      <w:proofErr w:type="gramEnd"/>
      <w:r w:rsidR="00EB099F" w:rsidRPr="00376CD5">
        <w:t xml:space="preserve"> </w:t>
      </w:r>
      <w:r w:rsidRPr="00376CD5">
        <w:t>2014 sample was updated by the Su</w:t>
      </w:r>
      <w:r w:rsidR="00EB099F" w:rsidRPr="00376CD5">
        <w:t>rvey Research Office in August</w:t>
      </w:r>
      <w:r w:rsidRPr="00376CD5">
        <w:t xml:space="preserve"> 2014. </w:t>
      </w:r>
    </w:p>
    <w:p w:rsidR="00C46841" w:rsidRPr="00376CD5" w:rsidRDefault="00C46841" w:rsidP="002E4C02">
      <w:pPr>
        <w:spacing w:after="0"/>
      </w:pPr>
    </w:p>
    <w:p w:rsidR="0046477E" w:rsidRPr="00376CD5" w:rsidRDefault="00303F47" w:rsidP="002E4C02">
      <w:pPr>
        <w:spacing w:after="0"/>
      </w:pPr>
      <w:r w:rsidRPr="00376CD5">
        <w:t>The final sample included</w:t>
      </w:r>
      <w:r w:rsidR="0046477E" w:rsidRPr="00376CD5">
        <w:t xml:space="preserve"> 1</w:t>
      </w:r>
      <w:r w:rsidR="00EB099F" w:rsidRPr="00376CD5">
        <w:t>198</w:t>
      </w:r>
      <w:r w:rsidR="0046477E" w:rsidRPr="00376CD5">
        <w:t xml:space="preserve"> Sangamon County organizations representing the private sector, the non-profit sector, and the public sector. A printed questionnaire and letter requesting </w:t>
      </w:r>
      <w:r w:rsidR="002D4806">
        <w:t>participation in the study were</w:t>
      </w:r>
      <w:r w:rsidR="008D70C9">
        <w:t xml:space="preserve"> </w:t>
      </w:r>
      <w:r w:rsidR="0046477E" w:rsidRPr="00376CD5">
        <w:t xml:space="preserve">sent to these individual businesses and non-profit organizations on </w:t>
      </w:r>
      <w:r w:rsidR="00EB099F" w:rsidRPr="00376CD5">
        <w:t>August 28</w:t>
      </w:r>
      <w:r w:rsidR="00EB099F" w:rsidRPr="00376CD5">
        <w:rPr>
          <w:vertAlign w:val="superscript"/>
        </w:rPr>
        <w:t>th</w:t>
      </w:r>
      <w:r w:rsidR="0046477E" w:rsidRPr="00376CD5">
        <w:t xml:space="preserve">, 2014, with follow-up phone interviews on </w:t>
      </w:r>
      <w:r w:rsidR="00EB099F" w:rsidRPr="00376CD5">
        <w:t>September 5</w:t>
      </w:r>
      <w:r w:rsidR="00EB099F" w:rsidRPr="00376CD5">
        <w:rPr>
          <w:vertAlign w:val="superscript"/>
        </w:rPr>
        <w:t>th</w:t>
      </w:r>
      <w:r w:rsidR="0046477E" w:rsidRPr="00376CD5">
        <w:t>, 2014.</w:t>
      </w:r>
      <w:r w:rsidR="00EB099F" w:rsidRPr="00376CD5">
        <w:t xml:space="preserve"> The second </w:t>
      </w:r>
      <w:proofErr w:type="gramStart"/>
      <w:r w:rsidR="00EB099F" w:rsidRPr="00376CD5">
        <w:t>wave of surveys w</w:t>
      </w:r>
      <w:r w:rsidR="002D4806">
        <w:t>ere</w:t>
      </w:r>
      <w:proofErr w:type="gramEnd"/>
      <w:r w:rsidR="00EB099F" w:rsidRPr="00376CD5">
        <w:t xml:space="preserve"> sent on September 12</w:t>
      </w:r>
      <w:r w:rsidR="00EB099F" w:rsidRPr="00376CD5">
        <w:rPr>
          <w:vertAlign w:val="superscript"/>
        </w:rPr>
        <w:t>th</w:t>
      </w:r>
      <w:r w:rsidR="00EB099F" w:rsidRPr="00376CD5">
        <w:t xml:space="preserve"> and t</w:t>
      </w:r>
      <w:r w:rsidR="0046477E" w:rsidRPr="00376CD5">
        <w:t xml:space="preserve">he survey was closed on </w:t>
      </w:r>
      <w:r w:rsidR="00EB099F" w:rsidRPr="00376CD5">
        <w:t>September</w:t>
      </w:r>
      <w:r w:rsidR="0046477E" w:rsidRPr="00376CD5">
        <w:t xml:space="preserve"> 1</w:t>
      </w:r>
      <w:r w:rsidR="00EB099F" w:rsidRPr="00376CD5">
        <w:t>9</w:t>
      </w:r>
      <w:r w:rsidR="0046477E" w:rsidRPr="00376CD5">
        <w:rPr>
          <w:vertAlign w:val="superscript"/>
        </w:rPr>
        <w:t>th</w:t>
      </w:r>
      <w:r w:rsidR="0046477E" w:rsidRPr="00376CD5">
        <w:t xml:space="preserve">. The survey also included a web option. Respondents were required to enter their unique project ID number to complete the web version in </w:t>
      </w:r>
      <w:r w:rsidR="0046477E" w:rsidRPr="00264BC2">
        <w:t xml:space="preserve">order to eliminate duplicate responses. The </w:t>
      </w:r>
      <w:proofErr w:type="gramStart"/>
      <w:r w:rsidR="00EB099F" w:rsidRPr="00264BC2">
        <w:t>Fall</w:t>
      </w:r>
      <w:proofErr w:type="gramEnd"/>
      <w:r w:rsidR="0046477E" w:rsidRPr="00264BC2">
        <w:t xml:space="preserve"> 2014 results are from 20</w:t>
      </w:r>
      <w:r w:rsidR="0034018E" w:rsidRPr="00264BC2">
        <w:t>7</w:t>
      </w:r>
      <w:r w:rsidR="0046477E" w:rsidRPr="00264BC2">
        <w:t xml:space="preserve"> respondents. The overal</w:t>
      </w:r>
      <w:r w:rsidR="00C74C17" w:rsidRPr="00264BC2">
        <w:t xml:space="preserve">l survey has a </w:t>
      </w:r>
      <w:r w:rsidR="00264BC2" w:rsidRPr="00264BC2">
        <w:t>20.8</w:t>
      </w:r>
      <w:r w:rsidR="00C74C17" w:rsidRPr="00264BC2">
        <w:t>% response rate and represents fourteen different economic sectors.</w:t>
      </w:r>
    </w:p>
    <w:p w:rsidR="0046477E" w:rsidRPr="00376CD5" w:rsidRDefault="0046477E" w:rsidP="002E4C02">
      <w:pPr>
        <w:spacing w:after="0"/>
        <w:rPr>
          <w:b/>
        </w:rPr>
      </w:pPr>
    </w:p>
    <w:p w:rsidR="0046477E" w:rsidRPr="00376CD5" w:rsidRDefault="0046477E" w:rsidP="002E4C02">
      <w:pPr>
        <w:spacing w:after="0"/>
      </w:pPr>
      <w:r w:rsidRPr="00376CD5">
        <w:t>For more information about this survey, please contact Dr. Ashley Kirzinger at akirz2@uis.edu or (217) 206-6591.</w:t>
      </w:r>
      <w:r w:rsidR="0099137B" w:rsidRPr="00376CD5">
        <w:t xml:space="preserve"> </w:t>
      </w:r>
      <w:r w:rsidRPr="00376CD5">
        <w:t xml:space="preserve">Special thanks to Richard Schuldt, Dr. Beverly Bunch, Dr. Patricia Byrnes at the University of Illinois Springfield, and Paul Marsh at the Greater Springfield Chamber of Commerce for their guidance on this project. </w:t>
      </w:r>
    </w:p>
    <w:p w:rsidR="0046477E" w:rsidRPr="00376CD5" w:rsidRDefault="0046477E" w:rsidP="002E4C02">
      <w:pPr>
        <w:spacing w:after="0"/>
      </w:pPr>
    </w:p>
    <w:p w:rsidR="0046477E" w:rsidRPr="00376CD5" w:rsidRDefault="0046477E" w:rsidP="002E4C02">
      <w:pPr>
        <w:spacing w:after="0"/>
      </w:pPr>
      <w:r w:rsidRPr="00376CD5">
        <w:t xml:space="preserve">Report written by: </w:t>
      </w:r>
    </w:p>
    <w:p w:rsidR="0046477E" w:rsidRPr="00376CD5" w:rsidRDefault="0046477E" w:rsidP="002E4C02">
      <w:pPr>
        <w:spacing w:after="0"/>
      </w:pPr>
      <w:r w:rsidRPr="00376CD5">
        <w:t xml:space="preserve">Ashley Kirzinger, SRO Director </w:t>
      </w:r>
    </w:p>
    <w:p w:rsidR="0046477E" w:rsidRPr="00376CD5" w:rsidRDefault="0046477E" w:rsidP="002E4C02">
      <w:pPr>
        <w:spacing w:after="0"/>
      </w:pPr>
      <w:r w:rsidRPr="00376CD5">
        <w:t>Jennifer Carter, SRO Research Manager</w:t>
      </w:r>
    </w:p>
    <w:p w:rsidR="0046477E" w:rsidRPr="00376CD5" w:rsidRDefault="0046477E" w:rsidP="002E4C02">
      <w:pPr>
        <w:spacing w:after="0"/>
      </w:pPr>
      <w:proofErr w:type="gramStart"/>
      <w:r w:rsidRPr="00376CD5">
        <w:t>with</w:t>
      </w:r>
      <w:proofErr w:type="gramEnd"/>
      <w:r w:rsidRPr="00376CD5">
        <w:t xml:space="preserve"> help from Tondalaya Reece</w:t>
      </w:r>
      <w:r w:rsidR="00381FA6">
        <w:t xml:space="preserve"> and Tayla Jenkins</w:t>
      </w:r>
    </w:p>
    <w:p w:rsidR="0046477E" w:rsidRPr="00376CD5" w:rsidRDefault="0046477E" w:rsidP="002E4C02">
      <w:pPr>
        <w:spacing w:after="0"/>
        <w:rPr>
          <w:rFonts w:eastAsia="Calibri" w:cs="Times New Roman"/>
          <w:b/>
        </w:rPr>
      </w:pPr>
    </w:p>
    <w:p w:rsidR="00643784" w:rsidRPr="00376CD5" w:rsidRDefault="00643784" w:rsidP="002E4C02">
      <w:pPr>
        <w:spacing w:after="0"/>
        <w:rPr>
          <w:b/>
          <w:sz w:val="24"/>
        </w:rPr>
      </w:pPr>
    </w:p>
    <w:p w:rsidR="007030FD" w:rsidRPr="00376CD5" w:rsidRDefault="007030FD" w:rsidP="007030FD">
      <w:pPr>
        <w:spacing w:after="0"/>
        <w:rPr>
          <w:b/>
        </w:rPr>
      </w:pPr>
      <w:r w:rsidRPr="00376CD5">
        <w:rPr>
          <w:b/>
        </w:rPr>
        <w:t>Intensity Index Scores</w:t>
      </w:r>
    </w:p>
    <w:p w:rsidR="007030FD" w:rsidRPr="00376CD5" w:rsidRDefault="007030FD" w:rsidP="007030FD">
      <w:pPr>
        <w:spacing w:after="0"/>
      </w:pPr>
      <w:r w:rsidRPr="00376CD5">
        <w:t xml:space="preserve">The “Intensity Index Score” is developed using the economic indicator questions, which have consistently appeared in every Outlook Survey. The score is the average of all ratings when the following values are assigned to each response: large decline (-100), small decline (-50), stay the same (0), small increase (+50), and large increase (+100). The Intensity Index score measures the expected change in each of the economic factors over the next 12 months. </w:t>
      </w:r>
    </w:p>
    <w:p w:rsidR="00FB03DE" w:rsidRPr="00376CD5" w:rsidRDefault="00FB03DE">
      <w:pPr>
        <w:rPr>
          <w:b/>
          <w:sz w:val="24"/>
        </w:rPr>
      </w:pPr>
      <w:r w:rsidRPr="00376CD5">
        <w:rPr>
          <w:b/>
          <w:sz w:val="24"/>
        </w:rPr>
        <w:br w:type="page"/>
      </w:r>
    </w:p>
    <w:p w:rsidR="0046477E" w:rsidRPr="009A2339" w:rsidRDefault="0046477E" w:rsidP="002E4C02">
      <w:pPr>
        <w:spacing w:after="0"/>
        <w:rPr>
          <w:b/>
        </w:rPr>
      </w:pPr>
      <w:proofErr w:type="gramStart"/>
      <w:r w:rsidRPr="009A2339">
        <w:rPr>
          <w:b/>
        </w:rPr>
        <w:lastRenderedPageBreak/>
        <w:t>Table 1</w:t>
      </w:r>
      <w:r w:rsidR="001455CC">
        <w:rPr>
          <w:b/>
        </w:rPr>
        <w:t>.</w:t>
      </w:r>
      <w:proofErr w:type="gramEnd"/>
      <w:r w:rsidR="001455CC">
        <w:rPr>
          <w:b/>
        </w:rPr>
        <w:t xml:space="preserve"> </w:t>
      </w:r>
      <w:r w:rsidRPr="009A2339">
        <w:rPr>
          <w:b/>
        </w:rPr>
        <w:t xml:space="preserve"> Business demographics of respondents</w:t>
      </w:r>
    </w:p>
    <w:tbl>
      <w:tblPr>
        <w:tblStyle w:val="LightShading-Accent2"/>
        <w:tblW w:w="0" w:type="auto"/>
        <w:shd w:val="clear" w:color="auto" w:fill="DDCAFA"/>
        <w:tblLook w:val="04A0" w:firstRow="1" w:lastRow="0" w:firstColumn="1" w:lastColumn="0" w:noHBand="0" w:noVBand="1"/>
      </w:tblPr>
      <w:tblGrid>
        <w:gridCol w:w="4893"/>
        <w:gridCol w:w="2448"/>
        <w:gridCol w:w="2147"/>
      </w:tblGrid>
      <w:tr w:rsidR="0046477E" w:rsidRPr="00376CD5" w:rsidTr="00643784">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93" w:type="dxa"/>
            <w:tcBorders>
              <w:top w:val="single" w:sz="4" w:space="0" w:color="auto"/>
              <w:left w:val="single" w:sz="4" w:space="0" w:color="auto"/>
              <w:bottom w:val="single" w:sz="4" w:space="0" w:color="auto"/>
            </w:tcBorders>
            <w:shd w:val="clear" w:color="auto" w:fill="FFFFFF" w:themeFill="background1"/>
          </w:tcPr>
          <w:p w:rsidR="0046477E" w:rsidRPr="00376CD5" w:rsidRDefault="0046477E" w:rsidP="002E4C02">
            <w:pPr>
              <w:rPr>
                <w:b w:val="0"/>
                <w:color w:val="auto"/>
              </w:rPr>
            </w:pPr>
          </w:p>
        </w:tc>
        <w:tc>
          <w:tcPr>
            <w:tcW w:w="2448" w:type="dxa"/>
            <w:tcBorders>
              <w:top w:val="single" w:sz="4" w:space="0" w:color="auto"/>
              <w:bottom w:val="single" w:sz="4" w:space="0" w:color="auto"/>
            </w:tcBorders>
            <w:shd w:val="clear" w:color="auto" w:fill="FFFFFF" w:themeFill="background1"/>
          </w:tcPr>
          <w:p w:rsidR="0046477E" w:rsidRPr="00376CD5" w:rsidRDefault="0046477E" w:rsidP="002E4C02">
            <w:pPr>
              <w:jc w:val="center"/>
              <w:cnfStyle w:val="100000000000" w:firstRow="1" w:lastRow="0" w:firstColumn="0" w:lastColumn="0" w:oddVBand="0" w:evenVBand="0" w:oddHBand="0" w:evenHBand="0" w:firstRowFirstColumn="0" w:firstRowLastColumn="0" w:lastRowFirstColumn="0" w:lastRowLastColumn="0"/>
              <w:rPr>
                <w:b w:val="0"/>
                <w:color w:val="auto"/>
              </w:rPr>
            </w:pPr>
            <w:r w:rsidRPr="00376CD5">
              <w:rPr>
                <w:b w:val="0"/>
                <w:color w:val="auto"/>
              </w:rPr>
              <w:t>Responses</w:t>
            </w:r>
          </w:p>
        </w:tc>
        <w:tc>
          <w:tcPr>
            <w:tcW w:w="2147" w:type="dxa"/>
            <w:tcBorders>
              <w:top w:val="single" w:sz="4" w:space="0" w:color="auto"/>
              <w:bottom w:val="single" w:sz="4" w:space="0" w:color="auto"/>
              <w:right w:val="single" w:sz="4" w:space="0" w:color="auto"/>
            </w:tcBorders>
            <w:shd w:val="clear" w:color="auto" w:fill="FFFFFF" w:themeFill="background1"/>
          </w:tcPr>
          <w:p w:rsidR="0046477E" w:rsidRPr="00376CD5" w:rsidRDefault="0046477E" w:rsidP="002E4C02">
            <w:pPr>
              <w:jc w:val="center"/>
              <w:cnfStyle w:val="100000000000" w:firstRow="1" w:lastRow="0" w:firstColumn="0" w:lastColumn="0" w:oddVBand="0" w:evenVBand="0" w:oddHBand="0" w:evenHBand="0" w:firstRowFirstColumn="0" w:firstRowLastColumn="0" w:lastRowFirstColumn="0" w:lastRowLastColumn="0"/>
              <w:rPr>
                <w:b w:val="0"/>
                <w:color w:val="auto"/>
              </w:rPr>
            </w:pPr>
            <w:r w:rsidRPr="00376CD5">
              <w:rPr>
                <w:b w:val="0"/>
                <w:color w:val="auto"/>
              </w:rPr>
              <w:t>Valid frequency</w:t>
            </w:r>
          </w:p>
        </w:tc>
      </w:tr>
      <w:tr w:rsidR="0046477E" w:rsidRPr="00376CD5" w:rsidTr="0064378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893" w:type="dxa"/>
            <w:tcBorders>
              <w:top w:val="single" w:sz="4" w:space="0" w:color="auto"/>
              <w:left w:val="single" w:sz="4" w:space="0" w:color="auto"/>
              <w:bottom w:val="single" w:sz="4" w:space="0" w:color="auto"/>
            </w:tcBorders>
            <w:shd w:val="clear" w:color="auto" w:fill="FFFFFF" w:themeFill="background1"/>
          </w:tcPr>
          <w:p w:rsidR="0046477E" w:rsidRPr="00376CD5" w:rsidRDefault="0046477E" w:rsidP="002E4C02">
            <w:pPr>
              <w:rPr>
                <w:color w:val="auto"/>
                <w:sz w:val="24"/>
              </w:rPr>
            </w:pPr>
            <w:r w:rsidRPr="00376CD5">
              <w:rPr>
                <w:color w:val="auto"/>
                <w:sz w:val="24"/>
              </w:rPr>
              <w:t>Sector</w:t>
            </w:r>
          </w:p>
        </w:tc>
        <w:tc>
          <w:tcPr>
            <w:tcW w:w="2448" w:type="dxa"/>
            <w:tcBorders>
              <w:top w:val="single" w:sz="4" w:space="0" w:color="auto"/>
              <w:bottom w:val="single" w:sz="4" w:space="0" w:color="auto"/>
            </w:tcBorders>
            <w:shd w:val="clear" w:color="auto" w:fill="FFFFFF" w:themeFill="background1"/>
          </w:tcPr>
          <w:p w:rsidR="0046477E" w:rsidRPr="00376CD5" w:rsidRDefault="0046477E" w:rsidP="002E4C02">
            <w:pPr>
              <w:jc w:val="center"/>
              <w:cnfStyle w:val="000000100000" w:firstRow="0" w:lastRow="0" w:firstColumn="0" w:lastColumn="0" w:oddVBand="0" w:evenVBand="0" w:oddHBand="1" w:evenHBand="0" w:firstRowFirstColumn="0" w:firstRowLastColumn="0" w:lastRowFirstColumn="0" w:lastRowLastColumn="0"/>
              <w:rPr>
                <w:color w:val="auto"/>
                <w:sz w:val="24"/>
              </w:rPr>
            </w:pPr>
          </w:p>
        </w:tc>
        <w:tc>
          <w:tcPr>
            <w:tcW w:w="2147" w:type="dxa"/>
            <w:tcBorders>
              <w:top w:val="single" w:sz="4" w:space="0" w:color="auto"/>
              <w:bottom w:val="single" w:sz="4" w:space="0" w:color="auto"/>
              <w:right w:val="single" w:sz="4" w:space="0" w:color="auto"/>
            </w:tcBorders>
            <w:shd w:val="clear" w:color="auto" w:fill="FFFFFF" w:themeFill="background1"/>
          </w:tcPr>
          <w:p w:rsidR="0046477E" w:rsidRPr="00376CD5" w:rsidRDefault="0046477E" w:rsidP="002E4C02">
            <w:pPr>
              <w:jc w:val="center"/>
              <w:cnfStyle w:val="000000100000" w:firstRow="0" w:lastRow="0" w:firstColumn="0" w:lastColumn="0" w:oddVBand="0" w:evenVBand="0" w:oddHBand="1" w:evenHBand="0" w:firstRowFirstColumn="0" w:firstRowLastColumn="0" w:lastRowFirstColumn="0" w:lastRowLastColumn="0"/>
              <w:rPr>
                <w:color w:val="auto"/>
                <w:sz w:val="24"/>
              </w:rPr>
            </w:pPr>
          </w:p>
        </w:tc>
      </w:tr>
      <w:tr w:rsidR="0046477E" w:rsidRPr="00376CD5" w:rsidTr="00643784">
        <w:trPr>
          <w:trHeight w:val="273"/>
        </w:trPr>
        <w:tc>
          <w:tcPr>
            <w:cnfStyle w:val="001000000000" w:firstRow="0" w:lastRow="0" w:firstColumn="1" w:lastColumn="0" w:oddVBand="0" w:evenVBand="0" w:oddHBand="0" w:evenHBand="0" w:firstRowFirstColumn="0" w:firstRowLastColumn="0" w:lastRowFirstColumn="0" w:lastRowLastColumn="0"/>
            <w:tcW w:w="4893" w:type="dxa"/>
            <w:tcBorders>
              <w:top w:val="single" w:sz="4" w:space="0" w:color="auto"/>
              <w:left w:val="single" w:sz="4" w:space="0" w:color="auto"/>
            </w:tcBorders>
            <w:shd w:val="clear" w:color="auto" w:fill="DDCAFA"/>
          </w:tcPr>
          <w:p w:rsidR="0046477E" w:rsidRPr="00376CD5" w:rsidRDefault="0046477E" w:rsidP="002E4C02">
            <w:pPr>
              <w:rPr>
                <w:b w:val="0"/>
                <w:color w:val="auto"/>
              </w:rPr>
            </w:pPr>
            <w:r w:rsidRPr="00376CD5">
              <w:rPr>
                <w:b w:val="0"/>
                <w:color w:val="auto"/>
              </w:rPr>
              <w:t>Private sector (for-profit)</w:t>
            </w:r>
          </w:p>
        </w:tc>
        <w:tc>
          <w:tcPr>
            <w:tcW w:w="2448" w:type="dxa"/>
            <w:tcBorders>
              <w:top w:val="single" w:sz="4" w:space="0" w:color="auto"/>
            </w:tcBorders>
            <w:shd w:val="clear" w:color="auto" w:fill="DDCAFA"/>
          </w:tcPr>
          <w:p w:rsidR="0046477E" w:rsidRPr="00376CD5" w:rsidRDefault="000342BC" w:rsidP="002E4C02">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133</w:t>
            </w:r>
          </w:p>
        </w:tc>
        <w:tc>
          <w:tcPr>
            <w:tcW w:w="2147" w:type="dxa"/>
            <w:tcBorders>
              <w:top w:val="single" w:sz="4" w:space="0" w:color="auto"/>
              <w:right w:val="single" w:sz="4" w:space="0" w:color="auto"/>
            </w:tcBorders>
            <w:shd w:val="clear" w:color="auto" w:fill="DDCAFA"/>
          </w:tcPr>
          <w:p w:rsidR="0046477E" w:rsidRPr="00376CD5" w:rsidRDefault="000342BC" w:rsidP="002E4C02">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65.5%</w:t>
            </w:r>
          </w:p>
        </w:tc>
      </w:tr>
      <w:tr w:rsidR="0046477E" w:rsidRPr="00376CD5" w:rsidTr="0064378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shd w:val="clear" w:color="auto" w:fill="FFFFFF" w:themeFill="background1"/>
          </w:tcPr>
          <w:p w:rsidR="0046477E" w:rsidRPr="00376CD5" w:rsidRDefault="0046477E" w:rsidP="002E4C02">
            <w:pPr>
              <w:rPr>
                <w:b w:val="0"/>
                <w:color w:val="auto"/>
              </w:rPr>
            </w:pPr>
            <w:r w:rsidRPr="00376CD5">
              <w:rPr>
                <w:b w:val="0"/>
                <w:color w:val="auto"/>
              </w:rPr>
              <w:t>Non-profit sector</w:t>
            </w:r>
          </w:p>
        </w:tc>
        <w:tc>
          <w:tcPr>
            <w:tcW w:w="2448" w:type="dxa"/>
            <w:shd w:val="clear" w:color="auto" w:fill="FFFFFF" w:themeFill="background1"/>
          </w:tcPr>
          <w:p w:rsidR="0046477E" w:rsidRPr="00376CD5" w:rsidRDefault="000342BC" w:rsidP="002E4C02">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35</w:t>
            </w:r>
          </w:p>
        </w:tc>
        <w:tc>
          <w:tcPr>
            <w:tcW w:w="2147" w:type="dxa"/>
            <w:tcBorders>
              <w:right w:val="single" w:sz="4" w:space="0" w:color="auto"/>
            </w:tcBorders>
            <w:shd w:val="clear" w:color="auto" w:fill="FFFFFF" w:themeFill="background1"/>
          </w:tcPr>
          <w:p w:rsidR="0046477E" w:rsidRPr="00376CD5" w:rsidRDefault="000342BC" w:rsidP="002E4C02">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17.2%</w:t>
            </w:r>
          </w:p>
        </w:tc>
      </w:tr>
      <w:tr w:rsidR="0046477E" w:rsidRPr="00376CD5" w:rsidTr="00643784">
        <w:trPr>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bottom w:val="single" w:sz="4" w:space="0" w:color="auto"/>
            </w:tcBorders>
            <w:shd w:val="clear" w:color="auto" w:fill="DDCAFA"/>
          </w:tcPr>
          <w:p w:rsidR="0046477E" w:rsidRPr="00376CD5" w:rsidRDefault="0046477E" w:rsidP="002E4C02">
            <w:pPr>
              <w:rPr>
                <w:b w:val="0"/>
                <w:color w:val="auto"/>
              </w:rPr>
            </w:pPr>
            <w:r w:rsidRPr="00376CD5">
              <w:rPr>
                <w:b w:val="0"/>
                <w:color w:val="auto"/>
              </w:rPr>
              <w:t>Public sector (government)</w:t>
            </w:r>
          </w:p>
        </w:tc>
        <w:tc>
          <w:tcPr>
            <w:tcW w:w="2448" w:type="dxa"/>
            <w:tcBorders>
              <w:bottom w:val="single" w:sz="4" w:space="0" w:color="auto"/>
            </w:tcBorders>
            <w:shd w:val="clear" w:color="auto" w:fill="DDCAFA"/>
          </w:tcPr>
          <w:p w:rsidR="0046477E" w:rsidRPr="00376CD5" w:rsidRDefault="000342BC" w:rsidP="002E4C02">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35</w:t>
            </w:r>
          </w:p>
        </w:tc>
        <w:tc>
          <w:tcPr>
            <w:tcW w:w="2147" w:type="dxa"/>
            <w:tcBorders>
              <w:bottom w:val="single" w:sz="4" w:space="0" w:color="auto"/>
              <w:right w:val="single" w:sz="4" w:space="0" w:color="auto"/>
            </w:tcBorders>
            <w:shd w:val="clear" w:color="auto" w:fill="DDCAFA"/>
          </w:tcPr>
          <w:p w:rsidR="0046477E" w:rsidRPr="00376CD5" w:rsidRDefault="000342BC" w:rsidP="002E4C02">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17.2%</w:t>
            </w:r>
          </w:p>
        </w:tc>
      </w:tr>
      <w:tr w:rsidR="0046477E" w:rsidRPr="00376CD5" w:rsidTr="00643784">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4893" w:type="dxa"/>
            <w:tcBorders>
              <w:top w:val="single" w:sz="4" w:space="0" w:color="auto"/>
              <w:left w:val="single" w:sz="4" w:space="0" w:color="auto"/>
              <w:bottom w:val="single" w:sz="4" w:space="0" w:color="auto"/>
            </w:tcBorders>
            <w:shd w:val="clear" w:color="auto" w:fill="FFFFFF" w:themeFill="background1"/>
            <w:vAlign w:val="center"/>
          </w:tcPr>
          <w:p w:rsidR="0046477E" w:rsidRPr="00376CD5" w:rsidRDefault="0046477E" w:rsidP="00643784">
            <w:pPr>
              <w:rPr>
                <w:color w:val="auto"/>
                <w:sz w:val="24"/>
              </w:rPr>
            </w:pPr>
            <w:r w:rsidRPr="00376CD5">
              <w:rPr>
                <w:color w:val="auto"/>
                <w:sz w:val="24"/>
              </w:rPr>
              <w:t>Primary Economic Activity</w:t>
            </w:r>
            <w:r w:rsidRPr="00376CD5">
              <w:rPr>
                <w:rStyle w:val="FootnoteReference"/>
                <w:color w:val="auto"/>
                <w:sz w:val="24"/>
              </w:rPr>
              <w:footnoteReference w:id="2"/>
            </w:r>
          </w:p>
        </w:tc>
        <w:tc>
          <w:tcPr>
            <w:tcW w:w="2448" w:type="dxa"/>
            <w:tcBorders>
              <w:top w:val="single" w:sz="4" w:space="0" w:color="auto"/>
              <w:bottom w:val="single" w:sz="4" w:space="0" w:color="auto"/>
            </w:tcBorders>
            <w:shd w:val="clear" w:color="auto" w:fill="FFFFFF" w:themeFill="background1"/>
          </w:tcPr>
          <w:p w:rsidR="0046477E" w:rsidRPr="00376CD5" w:rsidRDefault="0046477E" w:rsidP="002E4C02">
            <w:pPr>
              <w:jc w:val="center"/>
              <w:cnfStyle w:val="000000100000" w:firstRow="0" w:lastRow="0" w:firstColumn="0" w:lastColumn="0" w:oddVBand="0" w:evenVBand="0" w:oddHBand="1" w:evenHBand="0" w:firstRowFirstColumn="0" w:firstRowLastColumn="0" w:lastRowFirstColumn="0" w:lastRowLastColumn="0"/>
              <w:rPr>
                <w:color w:val="auto"/>
                <w:sz w:val="24"/>
              </w:rPr>
            </w:pPr>
          </w:p>
        </w:tc>
        <w:tc>
          <w:tcPr>
            <w:tcW w:w="2147" w:type="dxa"/>
            <w:tcBorders>
              <w:top w:val="single" w:sz="4" w:space="0" w:color="auto"/>
              <w:bottom w:val="single" w:sz="4" w:space="0" w:color="auto"/>
              <w:right w:val="single" w:sz="4" w:space="0" w:color="auto"/>
            </w:tcBorders>
            <w:shd w:val="clear" w:color="auto" w:fill="FFFFFF" w:themeFill="background1"/>
          </w:tcPr>
          <w:p w:rsidR="0046477E" w:rsidRPr="00376CD5" w:rsidRDefault="0046477E" w:rsidP="002E4C02">
            <w:pPr>
              <w:jc w:val="center"/>
              <w:cnfStyle w:val="000000100000" w:firstRow="0" w:lastRow="0" w:firstColumn="0" w:lastColumn="0" w:oddVBand="0" w:evenVBand="0" w:oddHBand="1" w:evenHBand="0" w:firstRowFirstColumn="0" w:firstRowLastColumn="0" w:lastRowFirstColumn="0" w:lastRowLastColumn="0"/>
              <w:rPr>
                <w:color w:val="auto"/>
                <w:sz w:val="24"/>
              </w:rPr>
            </w:pPr>
          </w:p>
        </w:tc>
      </w:tr>
      <w:tr w:rsidR="0046477E" w:rsidRPr="00376CD5" w:rsidTr="00643784">
        <w:trPr>
          <w:trHeight w:val="273"/>
        </w:trPr>
        <w:tc>
          <w:tcPr>
            <w:cnfStyle w:val="001000000000" w:firstRow="0" w:lastRow="0" w:firstColumn="1" w:lastColumn="0" w:oddVBand="0" w:evenVBand="0" w:oddHBand="0" w:evenHBand="0" w:firstRowFirstColumn="0" w:firstRowLastColumn="0" w:lastRowFirstColumn="0" w:lastRowLastColumn="0"/>
            <w:tcW w:w="4893" w:type="dxa"/>
            <w:tcBorders>
              <w:top w:val="single" w:sz="4" w:space="0" w:color="auto"/>
              <w:left w:val="single" w:sz="4" w:space="0" w:color="auto"/>
            </w:tcBorders>
            <w:shd w:val="clear" w:color="auto" w:fill="DDCAFA"/>
          </w:tcPr>
          <w:p w:rsidR="0046477E" w:rsidRPr="00376CD5" w:rsidRDefault="0046477E" w:rsidP="002E4C02">
            <w:pPr>
              <w:rPr>
                <w:b w:val="0"/>
                <w:color w:val="auto"/>
              </w:rPr>
            </w:pPr>
            <w:r w:rsidRPr="00376CD5">
              <w:rPr>
                <w:b w:val="0"/>
                <w:color w:val="auto"/>
              </w:rPr>
              <w:t>Construction</w:t>
            </w:r>
          </w:p>
        </w:tc>
        <w:tc>
          <w:tcPr>
            <w:tcW w:w="2448" w:type="dxa"/>
            <w:tcBorders>
              <w:top w:val="single" w:sz="4" w:space="0" w:color="auto"/>
            </w:tcBorders>
            <w:shd w:val="clear" w:color="auto" w:fill="DDCAFA"/>
          </w:tcPr>
          <w:p w:rsidR="0046477E" w:rsidRPr="00376CD5" w:rsidRDefault="000342BC" w:rsidP="002E4C02">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21</w:t>
            </w:r>
          </w:p>
        </w:tc>
        <w:tc>
          <w:tcPr>
            <w:tcW w:w="2147" w:type="dxa"/>
            <w:tcBorders>
              <w:top w:val="single" w:sz="4" w:space="0" w:color="auto"/>
              <w:right w:val="single" w:sz="4" w:space="0" w:color="auto"/>
            </w:tcBorders>
            <w:shd w:val="clear" w:color="auto" w:fill="DDCAFA"/>
          </w:tcPr>
          <w:p w:rsidR="0046477E" w:rsidRPr="00376CD5" w:rsidRDefault="000342BC" w:rsidP="002E4C02">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10.1%</w:t>
            </w:r>
          </w:p>
        </w:tc>
      </w:tr>
      <w:tr w:rsidR="0046477E" w:rsidRPr="00376CD5" w:rsidTr="0064378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shd w:val="clear" w:color="auto" w:fill="FFFFFF" w:themeFill="background1"/>
          </w:tcPr>
          <w:p w:rsidR="0046477E" w:rsidRPr="00376CD5" w:rsidRDefault="0046477E" w:rsidP="002E4C02">
            <w:pPr>
              <w:rPr>
                <w:b w:val="0"/>
                <w:color w:val="auto"/>
              </w:rPr>
            </w:pPr>
            <w:r w:rsidRPr="00376CD5">
              <w:rPr>
                <w:b w:val="0"/>
                <w:color w:val="auto"/>
              </w:rPr>
              <w:t>Manufacturing</w:t>
            </w:r>
          </w:p>
        </w:tc>
        <w:tc>
          <w:tcPr>
            <w:tcW w:w="2448" w:type="dxa"/>
            <w:shd w:val="clear" w:color="auto" w:fill="FFFFFF" w:themeFill="background1"/>
          </w:tcPr>
          <w:p w:rsidR="0046477E" w:rsidRPr="00376CD5" w:rsidRDefault="000342BC" w:rsidP="002E4C02">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9</w:t>
            </w:r>
          </w:p>
        </w:tc>
        <w:tc>
          <w:tcPr>
            <w:tcW w:w="2147" w:type="dxa"/>
            <w:tcBorders>
              <w:right w:val="single" w:sz="4" w:space="0" w:color="auto"/>
            </w:tcBorders>
            <w:shd w:val="clear" w:color="auto" w:fill="FFFFFF" w:themeFill="background1"/>
          </w:tcPr>
          <w:p w:rsidR="0046477E" w:rsidRPr="00376CD5" w:rsidRDefault="000342BC" w:rsidP="002E4C02">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4.3%</w:t>
            </w:r>
          </w:p>
        </w:tc>
      </w:tr>
      <w:tr w:rsidR="0046477E" w:rsidRPr="00376CD5" w:rsidTr="00643784">
        <w:trPr>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shd w:val="clear" w:color="auto" w:fill="DDCAFA"/>
          </w:tcPr>
          <w:p w:rsidR="0046477E" w:rsidRPr="00376CD5" w:rsidRDefault="0046477E" w:rsidP="002E4C02">
            <w:pPr>
              <w:rPr>
                <w:b w:val="0"/>
                <w:color w:val="auto"/>
              </w:rPr>
            </w:pPr>
            <w:r w:rsidRPr="00376CD5">
              <w:rPr>
                <w:b w:val="0"/>
                <w:color w:val="auto"/>
              </w:rPr>
              <w:t>Wholesale trade</w:t>
            </w:r>
          </w:p>
        </w:tc>
        <w:tc>
          <w:tcPr>
            <w:tcW w:w="2448" w:type="dxa"/>
            <w:shd w:val="clear" w:color="auto" w:fill="DDCAFA"/>
          </w:tcPr>
          <w:p w:rsidR="0046477E" w:rsidRPr="00376CD5" w:rsidRDefault="000342BC" w:rsidP="002E4C02">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4</w:t>
            </w:r>
          </w:p>
        </w:tc>
        <w:tc>
          <w:tcPr>
            <w:tcW w:w="2147" w:type="dxa"/>
            <w:tcBorders>
              <w:right w:val="single" w:sz="4" w:space="0" w:color="auto"/>
            </w:tcBorders>
            <w:shd w:val="clear" w:color="auto" w:fill="DDCAFA"/>
          </w:tcPr>
          <w:p w:rsidR="0046477E" w:rsidRPr="00376CD5" w:rsidRDefault="000342BC" w:rsidP="002E4C02">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1.9%</w:t>
            </w:r>
          </w:p>
        </w:tc>
      </w:tr>
      <w:tr w:rsidR="0046477E" w:rsidRPr="00376CD5" w:rsidTr="0064378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shd w:val="clear" w:color="auto" w:fill="FFFFFF" w:themeFill="background1"/>
          </w:tcPr>
          <w:p w:rsidR="0046477E" w:rsidRPr="00376CD5" w:rsidRDefault="0046477E" w:rsidP="002E4C02">
            <w:pPr>
              <w:rPr>
                <w:b w:val="0"/>
                <w:color w:val="auto"/>
              </w:rPr>
            </w:pPr>
            <w:r w:rsidRPr="00376CD5">
              <w:rPr>
                <w:b w:val="0"/>
                <w:color w:val="auto"/>
              </w:rPr>
              <w:t>Retail trade</w:t>
            </w:r>
          </w:p>
        </w:tc>
        <w:tc>
          <w:tcPr>
            <w:tcW w:w="2448" w:type="dxa"/>
            <w:shd w:val="clear" w:color="auto" w:fill="FFFFFF" w:themeFill="background1"/>
          </w:tcPr>
          <w:p w:rsidR="0046477E" w:rsidRPr="00376CD5" w:rsidRDefault="000342BC" w:rsidP="002E4C02">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35</w:t>
            </w:r>
          </w:p>
        </w:tc>
        <w:tc>
          <w:tcPr>
            <w:tcW w:w="2147" w:type="dxa"/>
            <w:tcBorders>
              <w:right w:val="single" w:sz="4" w:space="0" w:color="auto"/>
            </w:tcBorders>
            <w:shd w:val="clear" w:color="auto" w:fill="FFFFFF" w:themeFill="background1"/>
          </w:tcPr>
          <w:p w:rsidR="0046477E" w:rsidRPr="00376CD5" w:rsidRDefault="000342BC" w:rsidP="002E4C02">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16.9%</w:t>
            </w:r>
          </w:p>
        </w:tc>
      </w:tr>
      <w:tr w:rsidR="0046477E" w:rsidRPr="00376CD5" w:rsidTr="00643784">
        <w:trPr>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shd w:val="clear" w:color="auto" w:fill="DDCAFA"/>
          </w:tcPr>
          <w:p w:rsidR="0046477E" w:rsidRPr="00376CD5" w:rsidRDefault="0046477E" w:rsidP="002E4C02">
            <w:pPr>
              <w:rPr>
                <w:b w:val="0"/>
                <w:color w:val="auto"/>
              </w:rPr>
            </w:pPr>
            <w:r w:rsidRPr="00376CD5">
              <w:rPr>
                <w:b w:val="0"/>
                <w:color w:val="auto"/>
              </w:rPr>
              <w:t>Transportation/ warehousing</w:t>
            </w:r>
          </w:p>
        </w:tc>
        <w:tc>
          <w:tcPr>
            <w:tcW w:w="2448" w:type="dxa"/>
            <w:shd w:val="clear" w:color="auto" w:fill="DDCAFA"/>
          </w:tcPr>
          <w:p w:rsidR="0046477E" w:rsidRPr="00376CD5" w:rsidRDefault="000342BC" w:rsidP="002E4C02">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6</w:t>
            </w:r>
          </w:p>
        </w:tc>
        <w:tc>
          <w:tcPr>
            <w:tcW w:w="2147" w:type="dxa"/>
            <w:tcBorders>
              <w:right w:val="single" w:sz="4" w:space="0" w:color="auto"/>
            </w:tcBorders>
            <w:shd w:val="clear" w:color="auto" w:fill="DDCAFA"/>
          </w:tcPr>
          <w:p w:rsidR="0046477E" w:rsidRPr="00376CD5" w:rsidRDefault="000342BC" w:rsidP="002E4C02">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2.9%</w:t>
            </w:r>
          </w:p>
        </w:tc>
      </w:tr>
      <w:tr w:rsidR="0046477E" w:rsidRPr="00376CD5" w:rsidTr="0064378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shd w:val="clear" w:color="auto" w:fill="FFFFFF" w:themeFill="background1"/>
          </w:tcPr>
          <w:p w:rsidR="0046477E" w:rsidRPr="00376CD5" w:rsidRDefault="0046477E" w:rsidP="002E4C02">
            <w:pPr>
              <w:rPr>
                <w:b w:val="0"/>
                <w:color w:val="auto"/>
              </w:rPr>
            </w:pPr>
            <w:r w:rsidRPr="00376CD5">
              <w:rPr>
                <w:b w:val="0"/>
                <w:color w:val="auto"/>
              </w:rPr>
              <w:t>Finance/</w:t>
            </w:r>
            <w:r w:rsidR="00845A6D">
              <w:rPr>
                <w:b w:val="0"/>
                <w:color w:val="auto"/>
              </w:rPr>
              <w:t xml:space="preserve"> </w:t>
            </w:r>
            <w:r w:rsidRPr="00376CD5">
              <w:rPr>
                <w:b w:val="0"/>
                <w:color w:val="auto"/>
              </w:rPr>
              <w:t>insurance/</w:t>
            </w:r>
            <w:r w:rsidR="00845A6D">
              <w:rPr>
                <w:b w:val="0"/>
                <w:color w:val="auto"/>
              </w:rPr>
              <w:t xml:space="preserve"> </w:t>
            </w:r>
            <w:r w:rsidRPr="00376CD5">
              <w:rPr>
                <w:b w:val="0"/>
                <w:color w:val="auto"/>
              </w:rPr>
              <w:t>real estate</w:t>
            </w:r>
          </w:p>
        </w:tc>
        <w:tc>
          <w:tcPr>
            <w:tcW w:w="2448" w:type="dxa"/>
            <w:shd w:val="clear" w:color="auto" w:fill="FFFFFF" w:themeFill="background1"/>
          </w:tcPr>
          <w:p w:rsidR="0046477E" w:rsidRPr="00376CD5" w:rsidRDefault="000342BC" w:rsidP="002E4C02">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20</w:t>
            </w:r>
          </w:p>
        </w:tc>
        <w:tc>
          <w:tcPr>
            <w:tcW w:w="2147" w:type="dxa"/>
            <w:tcBorders>
              <w:right w:val="single" w:sz="4" w:space="0" w:color="auto"/>
            </w:tcBorders>
            <w:shd w:val="clear" w:color="auto" w:fill="FFFFFF" w:themeFill="background1"/>
          </w:tcPr>
          <w:p w:rsidR="0046477E" w:rsidRPr="00376CD5" w:rsidRDefault="000342BC" w:rsidP="002E4C02">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9.7%</w:t>
            </w:r>
          </w:p>
        </w:tc>
      </w:tr>
      <w:tr w:rsidR="0046477E" w:rsidRPr="00376CD5" w:rsidTr="00643784">
        <w:trPr>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shd w:val="clear" w:color="auto" w:fill="DDCAFA"/>
          </w:tcPr>
          <w:p w:rsidR="0046477E" w:rsidRPr="00376CD5" w:rsidRDefault="0046477E" w:rsidP="002E4C02">
            <w:pPr>
              <w:rPr>
                <w:b w:val="0"/>
                <w:color w:val="auto"/>
              </w:rPr>
            </w:pPr>
            <w:r w:rsidRPr="00376CD5">
              <w:rPr>
                <w:b w:val="0"/>
                <w:color w:val="auto"/>
              </w:rPr>
              <w:t>Medical/ health care</w:t>
            </w:r>
          </w:p>
        </w:tc>
        <w:tc>
          <w:tcPr>
            <w:tcW w:w="2448" w:type="dxa"/>
            <w:shd w:val="clear" w:color="auto" w:fill="DDCAFA"/>
          </w:tcPr>
          <w:p w:rsidR="0046477E" w:rsidRPr="00376CD5" w:rsidRDefault="000342BC" w:rsidP="002E4C02">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12</w:t>
            </w:r>
          </w:p>
        </w:tc>
        <w:tc>
          <w:tcPr>
            <w:tcW w:w="2147" w:type="dxa"/>
            <w:tcBorders>
              <w:right w:val="single" w:sz="4" w:space="0" w:color="auto"/>
            </w:tcBorders>
            <w:shd w:val="clear" w:color="auto" w:fill="DDCAFA"/>
          </w:tcPr>
          <w:p w:rsidR="0046477E" w:rsidRPr="00376CD5" w:rsidRDefault="000342BC" w:rsidP="002E4C02">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5.8%</w:t>
            </w:r>
          </w:p>
        </w:tc>
      </w:tr>
      <w:tr w:rsidR="0046477E" w:rsidRPr="00376CD5" w:rsidTr="0064378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shd w:val="clear" w:color="auto" w:fill="FFFFFF" w:themeFill="background1"/>
          </w:tcPr>
          <w:p w:rsidR="0046477E" w:rsidRPr="00376CD5" w:rsidRDefault="0046477E" w:rsidP="002E4C02">
            <w:pPr>
              <w:rPr>
                <w:b w:val="0"/>
                <w:color w:val="auto"/>
              </w:rPr>
            </w:pPr>
            <w:r w:rsidRPr="00376CD5">
              <w:rPr>
                <w:b w:val="0"/>
                <w:color w:val="auto"/>
              </w:rPr>
              <w:t>Education/ educational services</w:t>
            </w:r>
          </w:p>
        </w:tc>
        <w:tc>
          <w:tcPr>
            <w:tcW w:w="2448" w:type="dxa"/>
            <w:shd w:val="clear" w:color="auto" w:fill="FFFFFF" w:themeFill="background1"/>
          </w:tcPr>
          <w:p w:rsidR="0046477E" w:rsidRPr="00376CD5" w:rsidRDefault="000342BC" w:rsidP="002E4C02">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13</w:t>
            </w:r>
          </w:p>
        </w:tc>
        <w:tc>
          <w:tcPr>
            <w:tcW w:w="2147" w:type="dxa"/>
            <w:tcBorders>
              <w:right w:val="single" w:sz="4" w:space="0" w:color="auto"/>
            </w:tcBorders>
            <w:shd w:val="clear" w:color="auto" w:fill="FFFFFF" w:themeFill="background1"/>
          </w:tcPr>
          <w:p w:rsidR="0046477E" w:rsidRPr="00376CD5" w:rsidRDefault="000342BC" w:rsidP="002E4C02">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6.3%</w:t>
            </w:r>
          </w:p>
        </w:tc>
      </w:tr>
      <w:tr w:rsidR="0046477E" w:rsidRPr="00376CD5" w:rsidTr="00643784">
        <w:trPr>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shd w:val="clear" w:color="auto" w:fill="DDCAFA"/>
          </w:tcPr>
          <w:p w:rsidR="0046477E" w:rsidRPr="00376CD5" w:rsidRDefault="0046477E" w:rsidP="002E4C02">
            <w:pPr>
              <w:rPr>
                <w:b w:val="0"/>
                <w:color w:val="auto"/>
              </w:rPr>
            </w:pPr>
            <w:r w:rsidRPr="00376CD5">
              <w:rPr>
                <w:b w:val="0"/>
                <w:color w:val="auto"/>
              </w:rPr>
              <w:t>Accommodations/</w:t>
            </w:r>
            <w:r w:rsidR="00845A6D">
              <w:rPr>
                <w:b w:val="0"/>
                <w:color w:val="auto"/>
              </w:rPr>
              <w:t xml:space="preserve"> </w:t>
            </w:r>
            <w:r w:rsidRPr="00376CD5">
              <w:rPr>
                <w:b w:val="0"/>
                <w:color w:val="auto"/>
              </w:rPr>
              <w:t>food/</w:t>
            </w:r>
            <w:r w:rsidR="00845A6D">
              <w:rPr>
                <w:b w:val="0"/>
                <w:color w:val="auto"/>
              </w:rPr>
              <w:t xml:space="preserve"> </w:t>
            </w:r>
            <w:r w:rsidRPr="00376CD5">
              <w:rPr>
                <w:b w:val="0"/>
                <w:color w:val="auto"/>
              </w:rPr>
              <w:t>entertainment/</w:t>
            </w:r>
            <w:r w:rsidR="00845A6D">
              <w:rPr>
                <w:b w:val="0"/>
                <w:color w:val="auto"/>
              </w:rPr>
              <w:t xml:space="preserve"> </w:t>
            </w:r>
            <w:r w:rsidRPr="00376CD5">
              <w:rPr>
                <w:b w:val="0"/>
                <w:color w:val="auto"/>
              </w:rPr>
              <w:t>recreation</w:t>
            </w:r>
          </w:p>
        </w:tc>
        <w:tc>
          <w:tcPr>
            <w:tcW w:w="2448" w:type="dxa"/>
            <w:shd w:val="clear" w:color="auto" w:fill="DDCAFA"/>
          </w:tcPr>
          <w:p w:rsidR="0046477E" w:rsidRPr="00376CD5" w:rsidRDefault="000342BC" w:rsidP="002E4C02">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18</w:t>
            </w:r>
          </w:p>
        </w:tc>
        <w:tc>
          <w:tcPr>
            <w:tcW w:w="2147" w:type="dxa"/>
            <w:tcBorders>
              <w:right w:val="single" w:sz="4" w:space="0" w:color="auto"/>
            </w:tcBorders>
            <w:shd w:val="clear" w:color="auto" w:fill="DDCAFA"/>
          </w:tcPr>
          <w:p w:rsidR="0046477E" w:rsidRPr="00376CD5" w:rsidRDefault="000342BC" w:rsidP="002E4C02">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8.7%</w:t>
            </w:r>
          </w:p>
        </w:tc>
      </w:tr>
      <w:tr w:rsidR="0046477E" w:rsidRPr="00376CD5" w:rsidTr="0064378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shd w:val="clear" w:color="auto" w:fill="FFFFFF" w:themeFill="background1"/>
          </w:tcPr>
          <w:p w:rsidR="0046477E" w:rsidRPr="00376CD5" w:rsidRDefault="0046477E" w:rsidP="002E4C02">
            <w:pPr>
              <w:rPr>
                <w:b w:val="0"/>
                <w:color w:val="auto"/>
              </w:rPr>
            </w:pPr>
            <w:r w:rsidRPr="00376CD5">
              <w:rPr>
                <w:b w:val="0"/>
                <w:color w:val="auto"/>
              </w:rPr>
              <w:t>Information and communications systems</w:t>
            </w:r>
          </w:p>
        </w:tc>
        <w:tc>
          <w:tcPr>
            <w:tcW w:w="2448" w:type="dxa"/>
            <w:shd w:val="clear" w:color="auto" w:fill="FFFFFF" w:themeFill="background1"/>
          </w:tcPr>
          <w:p w:rsidR="0046477E" w:rsidRPr="00376CD5" w:rsidRDefault="000342BC" w:rsidP="002E4C02">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5</w:t>
            </w:r>
          </w:p>
        </w:tc>
        <w:tc>
          <w:tcPr>
            <w:tcW w:w="2147" w:type="dxa"/>
            <w:tcBorders>
              <w:right w:val="single" w:sz="4" w:space="0" w:color="auto"/>
            </w:tcBorders>
            <w:shd w:val="clear" w:color="auto" w:fill="FFFFFF" w:themeFill="background1"/>
          </w:tcPr>
          <w:p w:rsidR="0046477E" w:rsidRPr="00376CD5" w:rsidRDefault="000342BC" w:rsidP="002E4C02">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2.4%</w:t>
            </w:r>
          </w:p>
        </w:tc>
      </w:tr>
      <w:tr w:rsidR="0046477E" w:rsidRPr="00376CD5" w:rsidTr="00643784">
        <w:trPr>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shd w:val="clear" w:color="auto" w:fill="DDCAFA"/>
          </w:tcPr>
          <w:p w:rsidR="0046477E" w:rsidRPr="00376CD5" w:rsidRDefault="0046477E" w:rsidP="002E4C02">
            <w:pPr>
              <w:rPr>
                <w:b w:val="0"/>
                <w:color w:val="auto"/>
              </w:rPr>
            </w:pPr>
            <w:r w:rsidRPr="00376CD5">
              <w:rPr>
                <w:b w:val="0"/>
                <w:color w:val="auto"/>
              </w:rPr>
              <w:t>Business and professional support services</w:t>
            </w:r>
          </w:p>
        </w:tc>
        <w:tc>
          <w:tcPr>
            <w:tcW w:w="2448" w:type="dxa"/>
            <w:shd w:val="clear" w:color="auto" w:fill="DDCAFA"/>
          </w:tcPr>
          <w:p w:rsidR="0046477E" w:rsidRPr="00376CD5" w:rsidRDefault="000342BC" w:rsidP="002E4C02">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26</w:t>
            </w:r>
          </w:p>
        </w:tc>
        <w:tc>
          <w:tcPr>
            <w:tcW w:w="2147" w:type="dxa"/>
            <w:tcBorders>
              <w:right w:val="single" w:sz="4" w:space="0" w:color="auto"/>
            </w:tcBorders>
            <w:shd w:val="clear" w:color="auto" w:fill="DDCAFA"/>
          </w:tcPr>
          <w:p w:rsidR="0046477E" w:rsidRPr="00376CD5" w:rsidRDefault="000342BC" w:rsidP="002E4C02">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12.6%</w:t>
            </w:r>
          </w:p>
        </w:tc>
      </w:tr>
      <w:tr w:rsidR="0046477E" w:rsidRPr="00376CD5" w:rsidTr="0064378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shd w:val="clear" w:color="auto" w:fill="FFFFFF" w:themeFill="background1"/>
          </w:tcPr>
          <w:p w:rsidR="0046477E" w:rsidRPr="00376CD5" w:rsidRDefault="0046477E" w:rsidP="002E4C02">
            <w:pPr>
              <w:rPr>
                <w:b w:val="0"/>
                <w:color w:val="auto"/>
              </w:rPr>
            </w:pPr>
            <w:r w:rsidRPr="00376CD5">
              <w:rPr>
                <w:b w:val="0"/>
                <w:color w:val="auto"/>
              </w:rPr>
              <w:t>Personal services</w:t>
            </w:r>
          </w:p>
        </w:tc>
        <w:tc>
          <w:tcPr>
            <w:tcW w:w="2448" w:type="dxa"/>
            <w:shd w:val="clear" w:color="auto" w:fill="FFFFFF" w:themeFill="background1"/>
          </w:tcPr>
          <w:p w:rsidR="0046477E" w:rsidRPr="00376CD5" w:rsidRDefault="000342BC" w:rsidP="002E4C02">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17</w:t>
            </w:r>
          </w:p>
        </w:tc>
        <w:tc>
          <w:tcPr>
            <w:tcW w:w="2147" w:type="dxa"/>
            <w:tcBorders>
              <w:right w:val="single" w:sz="4" w:space="0" w:color="auto"/>
            </w:tcBorders>
            <w:shd w:val="clear" w:color="auto" w:fill="FFFFFF" w:themeFill="background1"/>
          </w:tcPr>
          <w:p w:rsidR="0046477E" w:rsidRPr="00376CD5" w:rsidRDefault="000342BC" w:rsidP="002E4C02">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8.2%</w:t>
            </w:r>
          </w:p>
        </w:tc>
      </w:tr>
      <w:tr w:rsidR="00430CCC" w:rsidRPr="00376CD5" w:rsidTr="00643784">
        <w:trPr>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shd w:val="clear" w:color="auto" w:fill="DDCAFA"/>
          </w:tcPr>
          <w:p w:rsidR="00430CCC" w:rsidRPr="00376CD5" w:rsidRDefault="00430CCC" w:rsidP="002E4C02">
            <w:pPr>
              <w:rPr>
                <w:b w:val="0"/>
                <w:color w:val="auto"/>
              </w:rPr>
            </w:pPr>
            <w:r w:rsidRPr="00376CD5">
              <w:rPr>
                <w:b w:val="0"/>
                <w:color w:val="auto"/>
              </w:rPr>
              <w:t>Natural resources and mining</w:t>
            </w:r>
          </w:p>
        </w:tc>
        <w:tc>
          <w:tcPr>
            <w:tcW w:w="2448" w:type="dxa"/>
            <w:shd w:val="clear" w:color="auto" w:fill="DDCAFA"/>
          </w:tcPr>
          <w:p w:rsidR="00430CCC" w:rsidRPr="00376CD5" w:rsidRDefault="000342BC" w:rsidP="002E4C02">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c>
          <w:tcPr>
            <w:tcW w:w="2147" w:type="dxa"/>
            <w:tcBorders>
              <w:right w:val="single" w:sz="4" w:space="0" w:color="auto"/>
            </w:tcBorders>
            <w:shd w:val="clear" w:color="auto" w:fill="DDCAFA"/>
          </w:tcPr>
          <w:p w:rsidR="00430CCC" w:rsidRPr="00376CD5" w:rsidRDefault="000342BC" w:rsidP="002E4C02">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0.5%</w:t>
            </w:r>
          </w:p>
        </w:tc>
      </w:tr>
      <w:tr w:rsidR="00430CCC" w:rsidRPr="00376CD5" w:rsidTr="0064378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shd w:val="clear" w:color="auto" w:fill="FFFFFF" w:themeFill="background1"/>
          </w:tcPr>
          <w:p w:rsidR="00430CCC" w:rsidRPr="00376CD5" w:rsidRDefault="00430CCC" w:rsidP="002E4C02">
            <w:pPr>
              <w:rPr>
                <w:b w:val="0"/>
                <w:color w:val="auto"/>
              </w:rPr>
            </w:pPr>
            <w:r w:rsidRPr="00376CD5">
              <w:rPr>
                <w:b w:val="0"/>
                <w:color w:val="auto"/>
              </w:rPr>
              <w:t>Public administration</w:t>
            </w:r>
          </w:p>
        </w:tc>
        <w:tc>
          <w:tcPr>
            <w:tcW w:w="2448" w:type="dxa"/>
            <w:shd w:val="clear" w:color="auto" w:fill="FFFFFF" w:themeFill="background1"/>
          </w:tcPr>
          <w:p w:rsidR="00430CCC" w:rsidRPr="00376CD5" w:rsidRDefault="000342BC" w:rsidP="002E4C02">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20</w:t>
            </w:r>
          </w:p>
        </w:tc>
        <w:tc>
          <w:tcPr>
            <w:tcW w:w="2147" w:type="dxa"/>
            <w:tcBorders>
              <w:right w:val="single" w:sz="4" w:space="0" w:color="auto"/>
            </w:tcBorders>
            <w:shd w:val="clear" w:color="auto" w:fill="FFFFFF" w:themeFill="background1"/>
          </w:tcPr>
          <w:p w:rsidR="00430CCC" w:rsidRPr="00376CD5" w:rsidRDefault="000342BC" w:rsidP="002E4C02">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9.7%</w:t>
            </w:r>
          </w:p>
        </w:tc>
      </w:tr>
      <w:tr w:rsidR="00430CCC" w:rsidRPr="00376CD5" w:rsidTr="00643784">
        <w:trPr>
          <w:trHeight w:val="342"/>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bottom w:val="single" w:sz="4" w:space="0" w:color="auto"/>
            </w:tcBorders>
            <w:shd w:val="clear" w:color="auto" w:fill="DDCAFA"/>
          </w:tcPr>
          <w:p w:rsidR="0046477E" w:rsidRPr="00376CD5" w:rsidRDefault="00430CCC" w:rsidP="002E4C02">
            <w:pPr>
              <w:rPr>
                <w:b w:val="0"/>
                <w:color w:val="auto"/>
              </w:rPr>
            </w:pPr>
            <w:r w:rsidRPr="00376CD5">
              <w:rPr>
                <w:b w:val="0"/>
                <w:color w:val="auto"/>
              </w:rPr>
              <w:t>Unidentified</w:t>
            </w:r>
          </w:p>
        </w:tc>
        <w:tc>
          <w:tcPr>
            <w:tcW w:w="2448" w:type="dxa"/>
            <w:tcBorders>
              <w:bottom w:val="single" w:sz="4" w:space="0" w:color="auto"/>
            </w:tcBorders>
            <w:shd w:val="clear" w:color="auto" w:fill="DDCAFA"/>
          </w:tcPr>
          <w:p w:rsidR="0046477E" w:rsidRPr="00376CD5" w:rsidRDefault="000342BC" w:rsidP="002E4C02">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2147" w:type="dxa"/>
            <w:tcBorders>
              <w:bottom w:val="single" w:sz="4" w:space="0" w:color="auto"/>
              <w:right w:val="single" w:sz="4" w:space="0" w:color="auto"/>
            </w:tcBorders>
            <w:shd w:val="clear" w:color="auto" w:fill="DDCAFA"/>
          </w:tcPr>
          <w:p w:rsidR="0046477E" w:rsidRPr="00376CD5" w:rsidRDefault="000342BC" w:rsidP="002E4C02">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r>
      <w:tr w:rsidR="00430CCC" w:rsidRPr="00376CD5" w:rsidTr="0064378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93" w:type="dxa"/>
            <w:tcBorders>
              <w:top w:val="single" w:sz="4" w:space="0" w:color="auto"/>
              <w:left w:val="single" w:sz="4" w:space="0" w:color="auto"/>
              <w:bottom w:val="single" w:sz="4" w:space="0" w:color="auto"/>
            </w:tcBorders>
            <w:shd w:val="clear" w:color="auto" w:fill="FFFFFF" w:themeFill="background1"/>
          </w:tcPr>
          <w:p w:rsidR="0046477E" w:rsidRPr="00376CD5" w:rsidRDefault="00430CCC" w:rsidP="002E4C02">
            <w:pPr>
              <w:rPr>
                <w:sz w:val="24"/>
              </w:rPr>
            </w:pPr>
            <w:r w:rsidRPr="00376CD5">
              <w:rPr>
                <w:color w:val="auto"/>
                <w:sz w:val="24"/>
              </w:rPr>
              <w:t>Years in operation</w:t>
            </w:r>
          </w:p>
        </w:tc>
        <w:tc>
          <w:tcPr>
            <w:tcW w:w="2448" w:type="dxa"/>
            <w:tcBorders>
              <w:top w:val="single" w:sz="4" w:space="0" w:color="auto"/>
              <w:bottom w:val="single" w:sz="4" w:space="0" w:color="auto"/>
            </w:tcBorders>
            <w:shd w:val="clear" w:color="auto" w:fill="FFFFFF" w:themeFill="background1"/>
          </w:tcPr>
          <w:p w:rsidR="0046477E" w:rsidRPr="00376CD5" w:rsidRDefault="0046477E" w:rsidP="002E4C02">
            <w:pPr>
              <w:jc w:val="center"/>
              <w:cnfStyle w:val="000000100000" w:firstRow="0" w:lastRow="0" w:firstColumn="0" w:lastColumn="0" w:oddVBand="0" w:evenVBand="0" w:oddHBand="1" w:evenHBand="0" w:firstRowFirstColumn="0" w:firstRowLastColumn="0" w:lastRowFirstColumn="0" w:lastRowLastColumn="0"/>
              <w:rPr>
                <w:sz w:val="24"/>
              </w:rPr>
            </w:pPr>
          </w:p>
        </w:tc>
        <w:tc>
          <w:tcPr>
            <w:tcW w:w="2147" w:type="dxa"/>
            <w:tcBorders>
              <w:top w:val="single" w:sz="4" w:space="0" w:color="auto"/>
              <w:bottom w:val="single" w:sz="4" w:space="0" w:color="auto"/>
              <w:right w:val="single" w:sz="4" w:space="0" w:color="auto"/>
            </w:tcBorders>
            <w:shd w:val="clear" w:color="auto" w:fill="FFFFFF" w:themeFill="background1"/>
          </w:tcPr>
          <w:p w:rsidR="0046477E" w:rsidRPr="00376CD5" w:rsidRDefault="0046477E" w:rsidP="002E4C02">
            <w:pPr>
              <w:jc w:val="center"/>
              <w:cnfStyle w:val="000000100000" w:firstRow="0" w:lastRow="0" w:firstColumn="0" w:lastColumn="0" w:oddVBand="0" w:evenVBand="0" w:oddHBand="1" w:evenHBand="0" w:firstRowFirstColumn="0" w:firstRowLastColumn="0" w:lastRowFirstColumn="0" w:lastRowLastColumn="0"/>
              <w:rPr>
                <w:sz w:val="24"/>
              </w:rPr>
            </w:pPr>
          </w:p>
        </w:tc>
      </w:tr>
      <w:tr w:rsidR="00430CCC" w:rsidRPr="00376CD5" w:rsidTr="00643784">
        <w:trPr>
          <w:trHeight w:val="273"/>
        </w:trPr>
        <w:tc>
          <w:tcPr>
            <w:cnfStyle w:val="001000000000" w:firstRow="0" w:lastRow="0" w:firstColumn="1" w:lastColumn="0" w:oddVBand="0" w:evenVBand="0" w:oddHBand="0" w:evenHBand="0" w:firstRowFirstColumn="0" w:firstRowLastColumn="0" w:lastRowFirstColumn="0" w:lastRowLastColumn="0"/>
            <w:tcW w:w="4893" w:type="dxa"/>
            <w:tcBorders>
              <w:top w:val="single" w:sz="4" w:space="0" w:color="auto"/>
              <w:left w:val="single" w:sz="4" w:space="0" w:color="auto"/>
            </w:tcBorders>
            <w:shd w:val="clear" w:color="auto" w:fill="DDCAFA"/>
          </w:tcPr>
          <w:p w:rsidR="0046477E" w:rsidRPr="00376CD5" w:rsidRDefault="0046477E" w:rsidP="002E4C02">
            <w:pPr>
              <w:rPr>
                <w:b w:val="0"/>
                <w:color w:val="auto"/>
              </w:rPr>
            </w:pPr>
            <w:r w:rsidRPr="00376CD5">
              <w:rPr>
                <w:b w:val="0"/>
                <w:color w:val="auto"/>
              </w:rPr>
              <w:t>Median number of years in current location</w:t>
            </w:r>
          </w:p>
        </w:tc>
        <w:tc>
          <w:tcPr>
            <w:tcW w:w="2448" w:type="dxa"/>
            <w:tcBorders>
              <w:top w:val="single" w:sz="4" w:space="0" w:color="auto"/>
            </w:tcBorders>
            <w:shd w:val="clear" w:color="auto" w:fill="DDCAFA"/>
          </w:tcPr>
          <w:p w:rsidR="0046477E" w:rsidRPr="00376CD5" w:rsidRDefault="000342BC" w:rsidP="002E4C02">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197</w:t>
            </w:r>
          </w:p>
        </w:tc>
        <w:tc>
          <w:tcPr>
            <w:tcW w:w="2147" w:type="dxa"/>
            <w:tcBorders>
              <w:top w:val="single" w:sz="4" w:space="0" w:color="auto"/>
              <w:right w:val="single" w:sz="4" w:space="0" w:color="auto"/>
            </w:tcBorders>
            <w:shd w:val="clear" w:color="auto" w:fill="DDCAFA"/>
          </w:tcPr>
          <w:p w:rsidR="0046477E" w:rsidRPr="00376CD5" w:rsidRDefault="000342BC" w:rsidP="002E4C02">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23 years</w:t>
            </w:r>
          </w:p>
        </w:tc>
      </w:tr>
      <w:tr w:rsidR="00430CCC" w:rsidRPr="00376CD5" w:rsidTr="0064378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shd w:val="clear" w:color="auto" w:fill="FFFFFF" w:themeFill="background1"/>
          </w:tcPr>
          <w:p w:rsidR="0046477E" w:rsidRPr="00376CD5" w:rsidRDefault="0046477E" w:rsidP="002E4C02">
            <w:pPr>
              <w:rPr>
                <w:b w:val="0"/>
                <w:color w:val="auto"/>
              </w:rPr>
            </w:pPr>
            <w:r w:rsidRPr="00376CD5">
              <w:rPr>
                <w:b w:val="0"/>
                <w:color w:val="auto"/>
              </w:rPr>
              <w:t>Median number of years in Sangamon County</w:t>
            </w:r>
          </w:p>
        </w:tc>
        <w:tc>
          <w:tcPr>
            <w:tcW w:w="2448" w:type="dxa"/>
            <w:shd w:val="clear" w:color="auto" w:fill="FFFFFF" w:themeFill="background1"/>
          </w:tcPr>
          <w:p w:rsidR="0046477E" w:rsidRPr="00376CD5" w:rsidRDefault="000342BC" w:rsidP="002E4C02">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193</w:t>
            </w:r>
          </w:p>
        </w:tc>
        <w:tc>
          <w:tcPr>
            <w:tcW w:w="2147" w:type="dxa"/>
            <w:tcBorders>
              <w:right w:val="single" w:sz="4" w:space="0" w:color="auto"/>
            </w:tcBorders>
            <w:shd w:val="clear" w:color="auto" w:fill="FFFFFF" w:themeFill="background1"/>
          </w:tcPr>
          <w:p w:rsidR="0046477E" w:rsidRPr="00376CD5" w:rsidRDefault="000342BC" w:rsidP="002E4C02">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37 years</w:t>
            </w:r>
          </w:p>
        </w:tc>
      </w:tr>
      <w:tr w:rsidR="00430CCC" w:rsidRPr="00376CD5" w:rsidTr="00643784">
        <w:trPr>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bottom w:val="single" w:sz="4" w:space="0" w:color="auto"/>
            </w:tcBorders>
            <w:shd w:val="clear" w:color="auto" w:fill="DDCAFA"/>
          </w:tcPr>
          <w:p w:rsidR="00430CCC" w:rsidRPr="00376CD5" w:rsidRDefault="00430CCC" w:rsidP="002E4C02">
            <w:pPr>
              <w:rPr>
                <w:b w:val="0"/>
                <w:color w:val="auto"/>
              </w:rPr>
            </w:pPr>
            <w:r w:rsidRPr="00376CD5">
              <w:rPr>
                <w:b w:val="0"/>
                <w:color w:val="auto"/>
              </w:rPr>
              <w:t>Median number of years in Illinois</w:t>
            </w:r>
          </w:p>
        </w:tc>
        <w:tc>
          <w:tcPr>
            <w:tcW w:w="2448" w:type="dxa"/>
            <w:tcBorders>
              <w:bottom w:val="single" w:sz="4" w:space="0" w:color="auto"/>
            </w:tcBorders>
            <w:shd w:val="clear" w:color="auto" w:fill="DDCAFA"/>
          </w:tcPr>
          <w:p w:rsidR="00430CCC" w:rsidRPr="00376CD5" w:rsidRDefault="000342BC" w:rsidP="002E4C02">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194</w:t>
            </w:r>
          </w:p>
        </w:tc>
        <w:tc>
          <w:tcPr>
            <w:tcW w:w="2147" w:type="dxa"/>
            <w:tcBorders>
              <w:bottom w:val="single" w:sz="4" w:space="0" w:color="auto"/>
              <w:right w:val="single" w:sz="4" w:space="0" w:color="auto"/>
            </w:tcBorders>
            <w:shd w:val="clear" w:color="auto" w:fill="DDCAFA"/>
          </w:tcPr>
          <w:p w:rsidR="00430CCC" w:rsidRPr="00376CD5" w:rsidRDefault="000342BC" w:rsidP="000342BC">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40 years</w:t>
            </w:r>
          </w:p>
        </w:tc>
      </w:tr>
      <w:tr w:rsidR="00430CCC" w:rsidRPr="00376CD5" w:rsidTr="0064378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93" w:type="dxa"/>
            <w:tcBorders>
              <w:top w:val="single" w:sz="4" w:space="0" w:color="auto"/>
              <w:left w:val="single" w:sz="4" w:space="0" w:color="auto"/>
              <w:bottom w:val="single" w:sz="4" w:space="0" w:color="auto"/>
            </w:tcBorders>
            <w:shd w:val="clear" w:color="auto" w:fill="FFFFFF" w:themeFill="background1"/>
          </w:tcPr>
          <w:p w:rsidR="00430CCC" w:rsidRPr="00376CD5" w:rsidRDefault="00430CCC" w:rsidP="002E4C02">
            <w:pPr>
              <w:rPr>
                <w:color w:val="auto"/>
                <w:sz w:val="24"/>
              </w:rPr>
            </w:pPr>
            <w:r w:rsidRPr="00376CD5">
              <w:rPr>
                <w:color w:val="auto"/>
                <w:sz w:val="24"/>
              </w:rPr>
              <w:t>Number of employees</w:t>
            </w:r>
          </w:p>
        </w:tc>
        <w:tc>
          <w:tcPr>
            <w:tcW w:w="2448" w:type="dxa"/>
            <w:tcBorders>
              <w:top w:val="single" w:sz="4" w:space="0" w:color="auto"/>
              <w:bottom w:val="single" w:sz="4" w:space="0" w:color="auto"/>
            </w:tcBorders>
            <w:shd w:val="clear" w:color="auto" w:fill="FFFFFF" w:themeFill="background1"/>
          </w:tcPr>
          <w:p w:rsidR="00430CCC" w:rsidRPr="00376CD5" w:rsidRDefault="00430CCC" w:rsidP="002E4C02">
            <w:pPr>
              <w:jc w:val="center"/>
              <w:cnfStyle w:val="000000100000" w:firstRow="0" w:lastRow="0" w:firstColumn="0" w:lastColumn="0" w:oddVBand="0" w:evenVBand="0" w:oddHBand="1" w:evenHBand="0" w:firstRowFirstColumn="0" w:firstRowLastColumn="0" w:lastRowFirstColumn="0" w:lastRowLastColumn="0"/>
              <w:rPr>
                <w:sz w:val="24"/>
              </w:rPr>
            </w:pPr>
          </w:p>
        </w:tc>
        <w:tc>
          <w:tcPr>
            <w:tcW w:w="2147" w:type="dxa"/>
            <w:tcBorders>
              <w:top w:val="single" w:sz="4" w:space="0" w:color="auto"/>
              <w:bottom w:val="single" w:sz="4" w:space="0" w:color="auto"/>
              <w:right w:val="single" w:sz="4" w:space="0" w:color="auto"/>
            </w:tcBorders>
            <w:shd w:val="clear" w:color="auto" w:fill="FFFFFF" w:themeFill="background1"/>
          </w:tcPr>
          <w:p w:rsidR="00430CCC" w:rsidRPr="00376CD5" w:rsidRDefault="00430CCC" w:rsidP="002E4C02">
            <w:pPr>
              <w:jc w:val="center"/>
              <w:cnfStyle w:val="000000100000" w:firstRow="0" w:lastRow="0" w:firstColumn="0" w:lastColumn="0" w:oddVBand="0" w:evenVBand="0" w:oddHBand="1" w:evenHBand="0" w:firstRowFirstColumn="0" w:firstRowLastColumn="0" w:lastRowFirstColumn="0" w:lastRowLastColumn="0"/>
              <w:rPr>
                <w:sz w:val="24"/>
              </w:rPr>
            </w:pPr>
          </w:p>
        </w:tc>
      </w:tr>
      <w:tr w:rsidR="00430CCC" w:rsidRPr="00376CD5" w:rsidTr="00643784">
        <w:trPr>
          <w:trHeight w:val="273"/>
        </w:trPr>
        <w:tc>
          <w:tcPr>
            <w:cnfStyle w:val="001000000000" w:firstRow="0" w:lastRow="0" w:firstColumn="1" w:lastColumn="0" w:oddVBand="0" w:evenVBand="0" w:oddHBand="0" w:evenHBand="0" w:firstRowFirstColumn="0" w:firstRowLastColumn="0" w:lastRowFirstColumn="0" w:lastRowLastColumn="0"/>
            <w:tcW w:w="4893" w:type="dxa"/>
            <w:tcBorders>
              <w:top w:val="single" w:sz="4" w:space="0" w:color="auto"/>
              <w:left w:val="single" w:sz="4" w:space="0" w:color="auto"/>
            </w:tcBorders>
            <w:shd w:val="clear" w:color="auto" w:fill="DDCAFA"/>
          </w:tcPr>
          <w:p w:rsidR="00430CCC" w:rsidRPr="00376CD5" w:rsidRDefault="00430CCC" w:rsidP="002E4C02">
            <w:pPr>
              <w:rPr>
                <w:b w:val="0"/>
                <w:color w:val="auto"/>
              </w:rPr>
            </w:pPr>
            <w:r w:rsidRPr="00376CD5">
              <w:rPr>
                <w:b w:val="0"/>
                <w:color w:val="auto"/>
              </w:rPr>
              <w:t>Less than five employees</w:t>
            </w:r>
          </w:p>
        </w:tc>
        <w:tc>
          <w:tcPr>
            <w:tcW w:w="2448" w:type="dxa"/>
            <w:tcBorders>
              <w:top w:val="single" w:sz="4" w:space="0" w:color="auto"/>
            </w:tcBorders>
            <w:shd w:val="clear" w:color="auto" w:fill="DDCAFA"/>
          </w:tcPr>
          <w:p w:rsidR="00430CCC" w:rsidRPr="00376CD5" w:rsidRDefault="000342BC" w:rsidP="002E4C02">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27</w:t>
            </w:r>
          </w:p>
        </w:tc>
        <w:tc>
          <w:tcPr>
            <w:tcW w:w="2147" w:type="dxa"/>
            <w:tcBorders>
              <w:top w:val="single" w:sz="4" w:space="0" w:color="auto"/>
              <w:right w:val="single" w:sz="4" w:space="0" w:color="auto"/>
            </w:tcBorders>
            <w:shd w:val="clear" w:color="auto" w:fill="DDCAFA"/>
          </w:tcPr>
          <w:p w:rsidR="00430CCC" w:rsidRPr="00376CD5" w:rsidRDefault="000342BC" w:rsidP="002E4C02">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13.5%</w:t>
            </w:r>
          </w:p>
        </w:tc>
      </w:tr>
      <w:tr w:rsidR="00430CCC" w:rsidRPr="00376CD5" w:rsidTr="0064378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shd w:val="clear" w:color="auto" w:fill="FFFFFF" w:themeFill="background1"/>
          </w:tcPr>
          <w:p w:rsidR="00430CCC" w:rsidRPr="00376CD5" w:rsidRDefault="00430CCC" w:rsidP="002E4C02">
            <w:pPr>
              <w:rPr>
                <w:b w:val="0"/>
                <w:color w:val="auto"/>
              </w:rPr>
            </w:pPr>
            <w:r w:rsidRPr="00376CD5">
              <w:rPr>
                <w:b w:val="0"/>
                <w:color w:val="auto"/>
              </w:rPr>
              <w:t>Five to ten employees</w:t>
            </w:r>
          </w:p>
        </w:tc>
        <w:tc>
          <w:tcPr>
            <w:tcW w:w="2448" w:type="dxa"/>
            <w:shd w:val="clear" w:color="auto" w:fill="FFFFFF" w:themeFill="background1"/>
          </w:tcPr>
          <w:p w:rsidR="00430CCC" w:rsidRPr="00376CD5" w:rsidRDefault="000342BC" w:rsidP="002E4C02">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45</w:t>
            </w:r>
          </w:p>
        </w:tc>
        <w:tc>
          <w:tcPr>
            <w:tcW w:w="2147" w:type="dxa"/>
            <w:tcBorders>
              <w:right w:val="single" w:sz="4" w:space="0" w:color="auto"/>
            </w:tcBorders>
            <w:shd w:val="clear" w:color="auto" w:fill="FFFFFF" w:themeFill="background1"/>
          </w:tcPr>
          <w:p w:rsidR="00430CCC" w:rsidRPr="00376CD5" w:rsidRDefault="000342BC" w:rsidP="002E4C02">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22.5%</w:t>
            </w:r>
          </w:p>
        </w:tc>
      </w:tr>
      <w:tr w:rsidR="00430CCC" w:rsidRPr="00376CD5" w:rsidTr="00643784">
        <w:trPr>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shd w:val="clear" w:color="auto" w:fill="DDCAFA"/>
          </w:tcPr>
          <w:p w:rsidR="00430CCC" w:rsidRPr="00376CD5" w:rsidRDefault="00430CCC" w:rsidP="002E4C02">
            <w:pPr>
              <w:rPr>
                <w:b w:val="0"/>
                <w:color w:val="auto"/>
              </w:rPr>
            </w:pPr>
            <w:r w:rsidRPr="00376CD5">
              <w:rPr>
                <w:b w:val="0"/>
                <w:color w:val="auto"/>
              </w:rPr>
              <w:t>11-20 employees</w:t>
            </w:r>
          </w:p>
        </w:tc>
        <w:tc>
          <w:tcPr>
            <w:tcW w:w="2448" w:type="dxa"/>
            <w:shd w:val="clear" w:color="auto" w:fill="DDCAFA"/>
          </w:tcPr>
          <w:p w:rsidR="00430CCC" w:rsidRPr="00376CD5" w:rsidRDefault="000342BC" w:rsidP="002E4C02">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50</w:t>
            </w:r>
          </w:p>
        </w:tc>
        <w:tc>
          <w:tcPr>
            <w:tcW w:w="2147" w:type="dxa"/>
            <w:tcBorders>
              <w:right w:val="single" w:sz="4" w:space="0" w:color="auto"/>
            </w:tcBorders>
            <w:shd w:val="clear" w:color="auto" w:fill="DDCAFA"/>
          </w:tcPr>
          <w:p w:rsidR="00430CCC" w:rsidRPr="00376CD5" w:rsidRDefault="000342BC" w:rsidP="002E4C02">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25.0%</w:t>
            </w:r>
          </w:p>
        </w:tc>
      </w:tr>
      <w:tr w:rsidR="00430CCC" w:rsidRPr="00376CD5" w:rsidTr="0064378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shd w:val="clear" w:color="auto" w:fill="FFFFFF" w:themeFill="background1"/>
          </w:tcPr>
          <w:p w:rsidR="00430CCC" w:rsidRPr="00376CD5" w:rsidRDefault="00430CCC" w:rsidP="002E4C02">
            <w:pPr>
              <w:rPr>
                <w:b w:val="0"/>
                <w:color w:val="auto"/>
              </w:rPr>
            </w:pPr>
            <w:r w:rsidRPr="00376CD5">
              <w:rPr>
                <w:b w:val="0"/>
                <w:color w:val="auto"/>
              </w:rPr>
              <w:t>21-35 employees</w:t>
            </w:r>
          </w:p>
        </w:tc>
        <w:tc>
          <w:tcPr>
            <w:tcW w:w="2448" w:type="dxa"/>
            <w:shd w:val="clear" w:color="auto" w:fill="FFFFFF" w:themeFill="background1"/>
          </w:tcPr>
          <w:p w:rsidR="00430CCC" w:rsidRPr="00376CD5" w:rsidRDefault="000342BC" w:rsidP="002E4C02">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26</w:t>
            </w:r>
          </w:p>
        </w:tc>
        <w:tc>
          <w:tcPr>
            <w:tcW w:w="2147" w:type="dxa"/>
            <w:tcBorders>
              <w:right w:val="single" w:sz="4" w:space="0" w:color="auto"/>
            </w:tcBorders>
            <w:shd w:val="clear" w:color="auto" w:fill="FFFFFF" w:themeFill="background1"/>
          </w:tcPr>
          <w:p w:rsidR="00430CCC" w:rsidRPr="00376CD5" w:rsidRDefault="000342BC" w:rsidP="002E4C02">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13.0%</w:t>
            </w:r>
          </w:p>
        </w:tc>
      </w:tr>
      <w:tr w:rsidR="00430CCC" w:rsidRPr="00376CD5" w:rsidTr="00643784">
        <w:trPr>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shd w:val="clear" w:color="auto" w:fill="DDCAFA"/>
          </w:tcPr>
          <w:p w:rsidR="00430CCC" w:rsidRPr="00376CD5" w:rsidRDefault="00430CCC" w:rsidP="002E4C02">
            <w:pPr>
              <w:rPr>
                <w:b w:val="0"/>
                <w:color w:val="auto"/>
              </w:rPr>
            </w:pPr>
            <w:r w:rsidRPr="00376CD5">
              <w:rPr>
                <w:b w:val="0"/>
                <w:color w:val="auto"/>
              </w:rPr>
              <w:t>36-50 employees</w:t>
            </w:r>
          </w:p>
        </w:tc>
        <w:tc>
          <w:tcPr>
            <w:tcW w:w="2448" w:type="dxa"/>
            <w:shd w:val="clear" w:color="auto" w:fill="DDCAFA"/>
          </w:tcPr>
          <w:p w:rsidR="00430CCC" w:rsidRPr="00376CD5" w:rsidRDefault="000342BC" w:rsidP="002E4C02">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13</w:t>
            </w:r>
          </w:p>
        </w:tc>
        <w:tc>
          <w:tcPr>
            <w:tcW w:w="2147" w:type="dxa"/>
            <w:tcBorders>
              <w:right w:val="single" w:sz="4" w:space="0" w:color="auto"/>
            </w:tcBorders>
            <w:shd w:val="clear" w:color="auto" w:fill="DDCAFA"/>
          </w:tcPr>
          <w:p w:rsidR="00430CCC" w:rsidRPr="00376CD5" w:rsidRDefault="000342BC" w:rsidP="002E4C02">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6.5%</w:t>
            </w:r>
          </w:p>
        </w:tc>
      </w:tr>
      <w:tr w:rsidR="00430CCC" w:rsidRPr="00376CD5" w:rsidTr="0064378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shd w:val="clear" w:color="auto" w:fill="FFFFFF" w:themeFill="background1"/>
          </w:tcPr>
          <w:p w:rsidR="00430CCC" w:rsidRPr="00376CD5" w:rsidRDefault="00430CCC" w:rsidP="002E4C02">
            <w:pPr>
              <w:rPr>
                <w:b w:val="0"/>
                <w:color w:val="auto"/>
              </w:rPr>
            </w:pPr>
            <w:r w:rsidRPr="00376CD5">
              <w:rPr>
                <w:b w:val="0"/>
                <w:color w:val="auto"/>
              </w:rPr>
              <w:t>51- 100 employees</w:t>
            </w:r>
          </w:p>
        </w:tc>
        <w:tc>
          <w:tcPr>
            <w:tcW w:w="2448" w:type="dxa"/>
            <w:shd w:val="clear" w:color="auto" w:fill="FFFFFF" w:themeFill="background1"/>
          </w:tcPr>
          <w:p w:rsidR="00430CCC" w:rsidRPr="00376CD5" w:rsidRDefault="000342BC" w:rsidP="002E4C02">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16</w:t>
            </w:r>
          </w:p>
        </w:tc>
        <w:tc>
          <w:tcPr>
            <w:tcW w:w="2147" w:type="dxa"/>
            <w:tcBorders>
              <w:right w:val="single" w:sz="4" w:space="0" w:color="auto"/>
            </w:tcBorders>
            <w:shd w:val="clear" w:color="auto" w:fill="FFFFFF" w:themeFill="background1"/>
          </w:tcPr>
          <w:p w:rsidR="00430CCC" w:rsidRPr="00376CD5" w:rsidRDefault="000342BC" w:rsidP="002E4C02">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8.0%</w:t>
            </w:r>
          </w:p>
        </w:tc>
      </w:tr>
      <w:tr w:rsidR="00430CCC" w:rsidRPr="00376CD5" w:rsidTr="00643784">
        <w:trPr>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shd w:val="clear" w:color="auto" w:fill="DDCAFA"/>
          </w:tcPr>
          <w:p w:rsidR="00430CCC" w:rsidRPr="00376CD5" w:rsidRDefault="00430CCC" w:rsidP="002E4C02">
            <w:pPr>
              <w:rPr>
                <w:b w:val="0"/>
                <w:color w:val="auto"/>
              </w:rPr>
            </w:pPr>
            <w:r w:rsidRPr="00376CD5">
              <w:rPr>
                <w:b w:val="0"/>
                <w:color w:val="auto"/>
              </w:rPr>
              <w:t>101-200 employees</w:t>
            </w:r>
          </w:p>
        </w:tc>
        <w:tc>
          <w:tcPr>
            <w:tcW w:w="2448" w:type="dxa"/>
            <w:shd w:val="clear" w:color="auto" w:fill="DDCAFA"/>
          </w:tcPr>
          <w:p w:rsidR="00430CCC" w:rsidRPr="00376CD5" w:rsidRDefault="000342BC" w:rsidP="002E4C02">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17</w:t>
            </w:r>
          </w:p>
        </w:tc>
        <w:tc>
          <w:tcPr>
            <w:tcW w:w="2147" w:type="dxa"/>
            <w:tcBorders>
              <w:right w:val="single" w:sz="4" w:space="0" w:color="auto"/>
            </w:tcBorders>
            <w:shd w:val="clear" w:color="auto" w:fill="DDCAFA"/>
          </w:tcPr>
          <w:p w:rsidR="00430CCC" w:rsidRPr="00376CD5" w:rsidRDefault="000342BC" w:rsidP="002E4C02">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8.5%</w:t>
            </w:r>
          </w:p>
        </w:tc>
      </w:tr>
      <w:tr w:rsidR="00430CCC" w:rsidRPr="00376CD5" w:rsidTr="0064378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bottom w:val="single" w:sz="4" w:space="0" w:color="auto"/>
            </w:tcBorders>
            <w:shd w:val="clear" w:color="auto" w:fill="FFFFFF" w:themeFill="background1"/>
          </w:tcPr>
          <w:p w:rsidR="00430CCC" w:rsidRPr="00376CD5" w:rsidRDefault="00430CCC" w:rsidP="002E4C02">
            <w:pPr>
              <w:rPr>
                <w:b w:val="0"/>
                <w:color w:val="auto"/>
              </w:rPr>
            </w:pPr>
            <w:r w:rsidRPr="00376CD5">
              <w:rPr>
                <w:b w:val="0"/>
                <w:color w:val="auto"/>
              </w:rPr>
              <w:t>More than 200 employees</w:t>
            </w:r>
          </w:p>
        </w:tc>
        <w:tc>
          <w:tcPr>
            <w:tcW w:w="2448" w:type="dxa"/>
            <w:tcBorders>
              <w:bottom w:val="single" w:sz="4" w:space="0" w:color="auto"/>
            </w:tcBorders>
            <w:shd w:val="clear" w:color="auto" w:fill="FFFFFF" w:themeFill="background1"/>
          </w:tcPr>
          <w:p w:rsidR="00430CCC" w:rsidRPr="00376CD5" w:rsidRDefault="000342BC" w:rsidP="002E4C02">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6</w:t>
            </w:r>
          </w:p>
        </w:tc>
        <w:tc>
          <w:tcPr>
            <w:tcW w:w="2147" w:type="dxa"/>
            <w:tcBorders>
              <w:bottom w:val="single" w:sz="4" w:space="0" w:color="auto"/>
              <w:right w:val="single" w:sz="4" w:space="0" w:color="auto"/>
            </w:tcBorders>
            <w:shd w:val="clear" w:color="auto" w:fill="FFFFFF" w:themeFill="background1"/>
          </w:tcPr>
          <w:p w:rsidR="00430CCC" w:rsidRPr="00376CD5" w:rsidRDefault="000342BC" w:rsidP="002E4C02">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3.0%</w:t>
            </w:r>
          </w:p>
        </w:tc>
      </w:tr>
    </w:tbl>
    <w:p w:rsidR="00C74C17" w:rsidRPr="00376CD5" w:rsidRDefault="00C74C17" w:rsidP="002E4C02">
      <w:pPr>
        <w:spacing w:after="0"/>
        <w:jc w:val="center"/>
        <w:rPr>
          <w:b/>
          <w:sz w:val="28"/>
          <w:szCs w:val="28"/>
        </w:rPr>
      </w:pPr>
    </w:p>
    <w:p w:rsidR="00643784" w:rsidRPr="00376CD5" w:rsidRDefault="00643784">
      <w:pPr>
        <w:rPr>
          <w:b/>
          <w:sz w:val="28"/>
          <w:szCs w:val="28"/>
        </w:rPr>
      </w:pPr>
      <w:r w:rsidRPr="00376CD5">
        <w:rPr>
          <w:b/>
          <w:sz w:val="28"/>
          <w:szCs w:val="28"/>
        </w:rPr>
        <w:br w:type="page"/>
      </w:r>
    </w:p>
    <w:p w:rsidR="00430CCC" w:rsidRPr="00376CD5" w:rsidRDefault="00C74C17" w:rsidP="002E4C02">
      <w:pPr>
        <w:spacing w:after="0"/>
        <w:jc w:val="center"/>
        <w:rPr>
          <w:b/>
          <w:sz w:val="28"/>
          <w:szCs w:val="28"/>
        </w:rPr>
      </w:pPr>
      <w:r w:rsidRPr="00376CD5">
        <w:rPr>
          <w:b/>
          <w:sz w:val="28"/>
          <w:szCs w:val="28"/>
        </w:rPr>
        <w:lastRenderedPageBreak/>
        <w:t>E</w:t>
      </w:r>
      <w:r w:rsidR="00430CCC" w:rsidRPr="00376CD5">
        <w:rPr>
          <w:b/>
          <w:sz w:val="28"/>
          <w:szCs w:val="28"/>
        </w:rPr>
        <w:t>xecutive Summary</w:t>
      </w:r>
    </w:p>
    <w:p w:rsidR="00383D0A" w:rsidRPr="00376CD5" w:rsidRDefault="00383D0A" w:rsidP="002E4C02">
      <w:pPr>
        <w:spacing w:after="0"/>
        <w:rPr>
          <w:szCs w:val="24"/>
        </w:rPr>
      </w:pPr>
    </w:p>
    <w:p w:rsidR="00334CA6" w:rsidRPr="00376CD5" w:rsidRDefault="00430CCC" w:rsidP="002E4C02">
      <w:pPr>
        <w:spacing w:after="0"/>
        <w:rPr>
          <w:szCs w:val="24"/>
        </w:rPr>
      </w:pPr>
      <w:r w:rsidRPr="00376CD5">
        <w:rPr>
          <w:szCs w:val="24"/>
        </w:rPr>
        <w:t xml:space="preserve">The </w:t>
      </w:r>
      <w:proofErr w:type="gramStart"/>
      <w:r w:rsidR="00643784" w:rsidRPr="00376CD5">
        <w:rPr>
          <w:szCs w:val="24"/>
        </w:rPr>
        <w:t>Fall</w:t>
      </w:r>
      <w:proofErr w:type="gramEnd"/>
      <w:r w:rsidR="00643784" w:rsidRPr="00376CD5">
        <w:rPr>
          <w:szCs w:val="24"/>
        </w:rPr>
        <w:t xml:space="preserve"> </w:t>
      </w:r>
      <w:r w:rsidRPr="00376CD5">
        <w:rPr>
          <w:szCs w:val="24"/>
        </w:rPr>
        <w:t xml:space="preserve">2014 Sangamon County Economic Outlook Survey studies local businesses, firms, and non-profits in order to gauge expectations for the next twelve months across several economic indicators. </w:t>
      </w:r>
      <w:r w:rsidR="00334CA6" w:rsidRPr="00376CD5">
        <w:rPr>
          <w:szCs w:val="24"/>
        </w:rPr>
        <w:t xml:space="preserve">The results continue a positive trajectory in expectations about individual firms and sectors, </w:t>
      </w:r>
      <w:r w:rsidR="00643784" w:rsidRPr="00376CD5">
        <w:rPr>
          <w:szCs w:val="24"/>
        </w:rPr>
        <w:t xml:space="preserve">and also indicate a steady increase in expectations about </w:t>
      </w:r>
      <w:r w:rsidR="00334CA6" w:rsidRPr="00376CD5">
        <w:rPr>
          <w:szCs w:val="24"/>
        </w:rPr>
        <w:t xml:space="preserve">the overall economy. When asked about the economic outlooks for their own individual firms, their firm’s sectors, and the overall Sangamon County, local employers </w:t>
      </w:r>
      <w:r w:rsidR="00303F47" w:rsidRPr="00376CD5">
        <w:rPr>
          <w:szCs w:val="24"/>
        </w:rPr>
        <w:t>are</w:t>
      </w:r>
      <w:r w:rsidR="00334CA6" w:rsidRPr="00376CD5">
        <w:rPr>
          <w:szCs w:val="24"/>
        </w:rPr>
        <w:t xml:space="preserve"> positive</w:t>
      </w:r>
      <w:r w:rsidR="00643784" w:rsidRPr="00376CD5">
        <w:rPr>
          <w:szCs w:val="24"/>
        </w:rPr>
        <w:t xml:space="preserve">. </w:t>
      </w:r>
      <w:r w:rsidR="008A2AA0" w:rsidRPr="00376CD5">
        <w:rPr>
          <w:szCs w:val="24"/>
        </w:rPr>
        <w:t xml:space="preserve">In previous surveys, expectations about the </w:t>
      </w:r>
      <w:r w:rsidR="00334CA6" w:rsidRPr="00376CD5">
        <w:rPr>
          <w:szCs w:val="24"/>
        </w:rPr>
        <w:t xml:space="preserve">individual’s own firm or business </w:t>
      </w:r>
      <w:r w:rsidR="00643784" w:rsidRPr="00376CD5">
        <w:rPr>
          <w:szCs w:val="24"/>
        </w:rPr>
        <w:t>as well as their firm’s sector receive</w:t>
      </w:r>
      <w:r w:rsidR="008A2AA0" w:rsidRPr="00376CD5">
        <w:rPr>
          <w:szCs w:val="24"/>
        </w:rPr>
        <w:t xml:space="preserve">d better expectations than the overall Sangamon County economy. This continues to be true in the </w:t>
      </w:r>
      <w:proofErr w:type="gramStart"/>
      <w:r w:rsidR="008A2AA0" w:rsidRPr="00376CD5">
        <w:rPr>
          <w:szCs w:val="24"/>
        </w:rPr>
        <w:t>Fall</w:t>
      </w:r>
      <w:proofErr w:type="gramEnd"/>
      <w:r w:rsidR="008A2AA0" w:rsidRPr="00376CD5">
        <w:rPr>
          <w:szCs w:val="24"/>
        </w:rPr>
        <w:t xml:space="preserve"> 2014 survey, however, the difference in expectations is less. Individuals have very positive</w:t>
      </w:r>
      <w:r w:rsidR="00334CA6" w:rsidRPr="00376CD5">
        <w:rPr>
          <w:szCs w:val="24"/>
        </w:rPr>
        <w:t xml:space="preserve"> expectations </w:t>
      </w:r>
      <w:r w:rsidR="008A2AA0" w:rsidRPr="00376CD5">
        <w:rPr>
          <w:szCs w:val="24"/>
        </w:rPr>
        <w:t xml:space="preserve">about their own organization </w:t>
      </w:r>
      <w:r w:rsidR="00334CA6" w:rsidRPr="00376CD5">
        <w:rPr>
          <w:szCs w:val="24"/>
        </w:rPr>
        <w:t>(</w:t>
      </w:r>
      <w:r w:rsidR="008A2AA0" w:rsidRPr="00376CD5">
        <w:rPr>
          <w:szCs w:val="24"/>
        </w:rPr>
        <w:t xml:space="preserve">an </w:t>
      </w:r>
      <w:r w:rsidR="00334CA6" w:rsidRPr="00376CD5">
        <w:rPr>
          <w:i/>
          <w:szCs w:val="24"/>
        </w:rPr>
        <w:t xml:space="preserve">IIS </w:t>
      </w:r>
      <w:r w:rsidR="00334CA6" w:rsidRPr="00376CD5">
        <w:rPr>
          <w:szCs w:val="24"/>
        </w:rPr>
        <w:t>of +1</w:t>
      </w:r>
      <w:r w:rsidR="00643784" w:rsidRPr="00376CD5">
        <w:rPr>
          <w:szCs w:val="24"/>
        </w:rPr>
        <w:t>4</w:t>
      </w:r>
      <w:r w:rsidR="008A2AA0" w:rsidRPr="00376CD5">
        <w:rPr>
          <w:szCs w:val="24"/>
        </w:rPr>
        <w:t xml:space="preserve">, which is the second highest expectation </w:t>
      </w:r>
      <w:r w:rsidR="007030FD">
        <w:rPr>
          <w:szCs w:val="24"/>
        </w:rPr>
        <w:t>since the outlook survey began in 2008)</w:t>
      </w:r>
      <w:r w:rsidR="00643784" w:rsidRPr="00376CD5">
        <w:rPr>
          <w:szCs w:val="24"/>
        </w:rPr>
        <w:t xml:space="preserve">, </w:t>
      </w:r>
      <w:r w:rsidR="008A2AA0" w:rsidRPr="00376CD5">
        <w:rPr>
          <w:szCs w:val="24"/>
        </w:rPr>
        <w:t xml:space="preserve">as well as positive </w:t>
      </w:r>
      <w:r w:rsidR="00822C07" w:rsidRPr="00376CD5">
        <w:rPr>
          <w:szCs w:val="24"/>
        </w:rPr>
        <w:t xml:space="preserve">expectations </w:t>
      </w:r>
      <w:r w:rsidR="00334CA6" w:rsidRPr="00376CD5">
        <w:rPr>
          <w:szCs w:val="24"/>
        </w:rPr>
        <w:t>f</w:t>
      </w:r>
      <w:r w:rsidR="00822C07" w:rsidRPr="00376CD5">
        <w:rPr>
          <w:szCs w:val="24"/>
        </w:rPr>
        <w:t>or</w:t>
      </w:r>
      <w:r w:rsidR="00334CA6" w:rsidRPr="00376CD5">
        <w:rPr>
          <w:szCs w:val="24"/>
        </w:rPr>
        <w:t xml:space="preserve"> </w:t>
      </w:r>
      <w:r w:rsidR="008A2AA0" w:rsidRPr="00376CD5">
        <w:rPr>
          <w:szCs w:val="24"/>
        </w:rPr>
        <w:t>both their firm’s sector (</w:t>
      </w:r>
      <w:r w:rsidR="008A2AA0" w:rsidRPr="00376CD5">
        <w:rPr>
          <w:i/>
          <w:szCs w:val="24"/>
        </w:rPr>
        <w:t>IIS</w:t>
      </w:r>
      <w:r w:rsidR="008A2AA0" w:rsidRPr="00376CD5">
        <w:rPr>
          <w:szCs w:val="24"/>
        </w:rPr>
        <w:t xml:space="preserve"> of +11) and </w:t>
      </w:r>
      <w:r w:rsidR="00334CA6" w:rsidRPr="00376CD5">
        <w:rPr>
          <w:szCs w:val="24"/>
        </w:rPr>
        <w:t>the overall Sangamon County economy</w:t>
      </w:r>
      <w:r w:rsidR="008A2AA0" w:rsidRPr="00376CD5">
        <w:rPr>
          <w:szCs w:val="24"/>
        </w:rPr>
        <w:t xml:space="preserve"> (</w:t>
      </w:r>
      <w:r w:rsidR="008A2AA0" w:rsidRPr="00376CD5">
        <w:rPr>
          <w:i/>
          <w:szCs w:val="24"/>
        </w:rPr>
        <w:t xml:space="preserve">IIS </w:t>
      </w:r>
      <w:r w:rsidR="008A2AA0" w:rsidRPr="00376CD5">
        <w:rPr>
          <w:szCs w:val="24"/>
        </w:rPr>
        <w:t>of +8). In fact, expectations for the overall Sangamon County economy</w:t>
      </w:r>
      <w:r w:rsidR="00334CA6" w:rsidRPr="00376CD5">
        <w:rPr>
          <w:szCs w:val="24"/>
        </w:rPr>
        <w:t xml:space="preserve"> increased </w:t>
      </w:r>
      <w:r w:rsidR="00643784" w:rsidRPr="00376CD5">
        <w:rPr>
          <w:szCs w:val="24"/>
        </w:rPr>
        <w:t>6</w:t>
      </w:r>
      <w:r w:rsidR="00334CA6" w:rsidRPr="00376CD5">
        <w:rPr>
          <w:szCs w:val="24"/>
        </w:rPr>
        <w:t xml:space="preserve"> points from the </w:t>
      </w:r>
      <w:proofErr w:type="gramStart"/>
      <w:r w:rsidR="00643784" w:rsidRPr="00376CD5">
        <w:rPr>
          <w:szCs w:val="24"/>
        </w:rPr>
        <w:t>Spring</w:t>
      </w:r>
      <w:proofErr w:type="gramEnd"/>
      <w:r w:rsidR="00643784" w:rsidRPr="00376CD5">
        <w:rPr>
          <w:szCs w:val="24"/>
        </w:rPr>
        <w:t xml:space="preserve"> 2014</w:t>
      </w:r>
      <w:r w:rsidR="00334CA6" w:rsidRPr="00376CD5">
        <w:rPr>
          <w:szCs w:val="24"/>
        </w:rPr>
        <w:t xml:space="preserve"> survey</w:t>
      </w:r>
      <w:r w:rsidR="00643784" w:rsidRPr="00376CD5">
        <w:rPr>
          <w:szCs w:val="24"/>
        </w:rPr>
        <w:t>. This is a steady increase of a tot</w:t>
      </w:r>
      <w:r w:rsidR="008A2AA0" w:rsidRPr="00376CD5">
        <w:rPr>
          <w:szCs w:val="24"/>
        </w:rPr>
        <w:t xml:space="preserve">al of 22 points since </w:t>
      </w:r>
      <w:proofErr w:type="gramStart"/>
      <w:r w:rsidR="008A2AA0" w:rsidRPr="00376CD5">
        <w:rPr>
          <w:szCs w:val="24"/>
        </w:rPr>
        <w:t>Fall</w:t>
      </w:r>
      <w:proofErr w:type="gramEnd"/>
      <w:r w:rsidR="008A2AA0" w:rsidRPr="00376CD5">
        <w:rPr>
          <w:szCs w:val="24"/>
        </w:rPr>
        <w:t xml:space="preserve"> 2012.</w:t>
      </w:r>
    </w:p>
    <w:p w:rsidR="00643784" w:rsidRPr="00376CD5" w:rsidRDefault="00643784" w:rsidP="002E4C02">
      <w:pPr>
        <w:spacing w:after="0"/>
        <w:rPr>
          <w:szCs w:val="24"/>
        </w:rPr>
      </w:pPr>
    </w:p>
    <w:p w:rsidR="00430CCC" w:rsidRPr="00376CD5" w:rsidRDefault="0017310E" w:rsidP="002E4C02">
      <w:pPr>
        <w:spacing w:after="0"/>
      </w:pPr>
      <w:r w:rsidRPr="00376CD5">
        <w:t>Figure</w:t>
      </w:r>
      <w:r w:rsidR="00430CCC" w:rsidRPr="00376CD5">
        <w:t xml:space="preserve"> 1 displays the longitudinal analysis of Intensity Index Scores (</w:t>
      </w:r>
      <w:r w:rsidR="00430CCC" w:rsidRPr="00376CD5">
        <w:rPr>
          <w:i/>
        </w:rPr>
        <w:t>IIS</w:t>
      </w:r>
      <w:r w:rsidR="00430CCC" w:rsidRPr="00376CD5">
        <w:t>) for the overall Sangamon County economy, respondents’ firm’s sector, and individual firms/businesses/organizations</w:t>
      </w:r>
      <w:r w:rsidR="00430CCC" w:rsidRPr="00376CD5">
        <w:rPr>
          <w:sz w:val="20"/>
        </w:rPr>
        <w:t>.</w:t>
      </w:r>
    </w:p>
    <w:p w:rsidR="007030FD" w:rsidRDefault="007030FD">
      <w:pPr>
        <w:rPr>
          <w:rFonts w:eastAsia="Calibri" w:cs="Times New Roman"/>
          <w:b/>
          <w:sz w:val="24"/>
          <w:szCs w:val="24"/>
        </w:rPr>
      </w:pPr>
      <w:r w:rsidRPr="00376CD5">
        <w:rPr>
          <w:noProof/>
        </w:rPr>
        <w:drawing>
          <wp:anchor distT="0" distB="0" distL="114300" distR="114300" simplePos="0" relativeHeight="251681792" behindDoc="0" locked="0" layoutInCell="1" allowOverlap="1" wp14:anchorId="3F6F9C44" wp14:editId="37CAB2CC">
            <wp:simplePos x="0" y="0"/>
            <wp:positionH relativeFrom="column">
              <wp:posOffset>-19050</wp:posOffset>
            </wp:positionH>
            <wp:positionV relativeFrom="paragraph">
              <wp:posOffset>81280</wp:posOffset>
            </wp:positionV>
            <wp:extent cx="6172200" cy="4448175"/>
            <wp:effectExtent l="0" t="0" r="19050" b="952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D13272" w:rsidRPr="00376CD5" w:rsidRDefault="00C13666" w:rsidP="002E4C02">
      <w:pPr>
        <w:spacing w:after="0"/>
        <w:rPr>
          <w:rFonts w:eastAsia="Calibri" w:cs="Times New Roman"/>
          <w:sz w:val="24"/>
          <w:szCs w:val="24"/>
        </w:rPr>
      </w:pPr>
      <w:r w:rsidRPr="00376CD5">
        <w:rPr>
          <w:rFonts w:eastAsia="Calibri" w:cs="Times New Roman"/>
          <w:b/>
          <w:sz w:val="24"/>
          <w:szCs w:val="24"/>
        </w:rPr>
        <w:lastRenderedPageBreak/>
        <w:t>Expectations for non-profits continue decline</w:t>
      </w:r>
    </w:p>
    <w:p w:rsidR="00C13666" w:rsidRPr="001076DB" w:rsidRDefault="001076DB" w:rsidP="002E4C02">
      <w:pPr>
        <w:spacing w:after="0"/>
        <w:rPr>
          <w:color w:val="0D0D0D" w:themeColor="text1" w:themeTint="F2"/>
          <w:szCs w:val="24"/>
        </w:rPr>
      </w:pPr>
      <w:r>
        <w:rPr>
          <w:color w:val="0D0D0D" w:themeColor="text1" w:themeTint="F2"/>
          <w:szCs w:val="24"/>
        </w:rPr>
        <w:t xml:space="preserve">As seen in figure 2, Sangamon County employers, on average, have been pessimistic about expected contributions to non-profit organizations. Since </w:t>
      </w:r>
      <w:proofErr w:type="gramStart"/>
      <w:r>
        <w:rPr>
          <w:color w:val="0D0D0D" w:themeColor="text1" w:themeTint="F2"/>
          <w:szCs w:val="24"/>
        </w:rPr>
        <w:t>Fall</w:t>
      </w:r>
      <w:proofErr w:type="gramEnd"/>
      <w:r>
        <w:rPr>
          <w:color w:val="0D0D0D" w:themeColor="text1" w:themeTint="F2"/>
          <w:szCs w:val="24"/>
        </w:rPr>
        <w:t xml:space="preserve"> 2010, expected contributions to non-profits has </w:t>
      </w:r>
      <w:r w:rsidR="007030FD">
        <w:rPr>
          <w:color w:val="0D0D0D" w:themeColor="text1" w:themeTint="F2"/>
          <w:szCs w:val="24"/>
        </w:rPr>
        <w:t>been negative</w:t>
      </w:r>
      <w:r>
        <w:rPr>
          <w:color w:val="0D0D0D" w:themeColor="text1" w:themeTint="F2"/>
          <w:szCs w:val="24"/>
        </w:rPr>
        <w:t xml:space="preserve">. The </w:t>
      </w:r>
      <w:proofErr w:type="gramStart"/>
      <w:r>
        <w:rPr>
          <w:color w:val="0D0D0D" w:themeColor="text1" w:themeTint="F2"/>
          <w:szCs w:val="24"/>
        </w:rPr>
        <w:t>Fall</w:t>
      </w:r>
      <w:proofErr w:type="gramEnd"/>
      <w:r>
        <w:rPr>
          <w:color w:val="0D0D0D" w:themeColor="text1" w:themeTint="F2"/>
          <w:szCs w:val="24"/>
        </w:rPr>
        <w:t xml:space="preserve"> 2014 survey is not different and while it is a slight improvement since Spring 2014 (+1 in </w:t>
      </w:r>
      <w:r>
        <w:rPr>
          <w:i/>
          <w:color w:val="0D0D0D" w:themeColor="text1" w:themeTint="F2"/>
          <w:szCs w:val="24"/>
        </w:rPr>
        <w:t xml:space="preserve">IIS </w:t>
      </w:r>
      <w:r>
        <w:rPr>
          <w:color w:val="0D0D0D" w:themeColor="text1" w:themeTint="F2"/>
          <w:szCs w:val="24"/>
        </w:rPr>
        <w:t>sco</w:t>
      </w:r>
      <w:r w:rsidR="002D4806">
        <w:rPr>
          <w:color w:val="0D0D0D" w:themeColor="text1" w:themeTint="F2"/>
          <w:szCs w:val="24"/>
        </w:rPr>
        <w:t>res), the overall expectations are</w:t>
      </w:r>
      <w:r>
        <w:rPr>
          <w:color w:val="0D0D0D" w:themeColor="text1" w:themeTint="F2"/>
          <w:szCs w:val="24"/>
        </w:rPr>
        <w:t xml:space="preserve"> still negative. In fact, this is the single item in the survey that has not rebounded since the recession.</w:t>
      </w:r>
    </w:p>
    <w:p w:rsidR="00C13666" w:rsidRDefault="00C41673" w:rsidP="002E4C02">
      <w:pPr>
        <w:spacing w:after="0"/>
        <w:rPr>
          <w:b/>
          <w:color w:val="0D0D0D" w:themeColor="text1" w:themeTint="F2"/>
          <w:szCs w:val="24"/>
        </w:rPr>
      </w:pPr>
      <w:r>
        <w:rPr>
          <w:noProof/>
        </w:rPr>
        <w:drawing>
          <wp:anchor distT="0" distB="0" distL="114300" distR="114300" simplePos="0" relativeHeight="251679744" behindDoc="0" locked="0" layoutInCell="1" allowOverlap="1" wp14:anchorId="296C5C28" wp14:editId="3D18207B">
            <wp:simplePos x="0" y="0"/>
            <wp:positionH relativeFrom="column">
              <wp:posOffset>295275</wp:posOffset>
            </wp:positionH>
            <wp:positionV relativeFrom="paragraph">
              <wp:posOffset>136525</wp:posOffset>
            </wp:positionV>
            <wp:extent cx="5505450" cy="2714625"/>
            <wp:effectExtent l="0" t="0" r="19050" b="9525"/>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1076DB" w:rsidRDefault="007030FD" w:rsidP="002E4C02">
      <w:pPr>
        <w:spacing w:after="0"/>
        <w:rPr>
          <w:color w:val="0D0D0D" w:themeColor="text1" w:themeTint="F2"/>
          <w:szCs w:val="24"/>
        </w:rPr>
      </w:pPr>
      <w:r>
        <w:rPr>
          <w:color w:val="0D0D0D" w:themeColor="text1" w:themeTint="F2"/>
          <w:szCs w:val="24"/>
        </w:rPr>
        <w:t>A</w:t>
      </w:r>
      <w:r w:rsidR="001076DB">
        <w:rPr>
          <w:color w:val="0D0D0D" w:themeColor="text1" w:themeTint="F2"/>
          <w:szCs w:val="24"/>
        </w:rPr>
        <w:t xml:space="preserve">ccording to the Urban Institute, a nonpartisan economic and </w:t>
      </w:r>
      <w:r>
        <w:rPr>
          <w:color w:val="0D0D0D" w:themeColor="text1" w:themeTint="F2"/>
          <w:szCs w:val="24"/>
        </w:rPr>
        <w:t>public</w:t>
      </w:r>
      <w:r w:rsidR="001076DB">
        <w:rPr>
          <w:color w:val="0D0D0D" w:themeColor="text1" w:themeTint="F2"/>
          <w:szCs w:val="24"/>
        </w:rPr>
        <w:t xml:space="preserve"> policy research organization, nonprofit organizations </w:t>
      </w:r>
      <w:r>
        <w:rPr>
          <w:color w:val="0D0D0D" w:themeColor="text1" w:themeTint="F2"/>
          <w:szCs w:val="24"/>
        </w:rPr>
        <w:t>nationally</w:t>
      </w:r>
      <w:r w:rsidR="001076DB">
        <w:rPr>
          <w:color w:val="0D0D0D" w:themeColor="text1" w:themeTint="F2"/>
          <w:szCs w:val="24"/>
        </w:rPr>
        <w:t xml:space="preserve"> fared relatively well during and after the recession. According to a series of briefs issued by the Urban Institute</w:t>
      </w:r>
      <w:r w:rsidR="001076DB">
        <w:rPr>
          <w:rStyle w:val="FootnoteReference"/>
          <w:color w:val="0D0D0D" w:themeColor="text1" w:themeTint="F2"/>
          <w:szCs w:val="24"/>
        </w:rPr>
        <w:footnoteReference w:id="3"/>
      </w:r>
      <w:r w:rsidR="001076DB">
        <w:rPr>
          <w:color w:val="0D0D0D" w:themeColor="text1" w:themeTint="F2"/>
          <w:szCs w:val="24"/>
        </w:rPr>
        <w:t xml:space="preserve"> </w:t>
      </w:r>
      <w:r w:rsidR="00E53940">
        <w:rPr>
          <w:color w:val="0D0D0D" w:themeColor="text1" w:themeTint="F2"/>
          <w:szCs w:val="24"/>
        </w:rPr>
        <w:t>as well as a report from Indiana University’s School of Philanthropy,</w:t>
      </w:r>
      <w:r w:rsidR="00E53940">
        <w:rPr>
          <w:rStyle w:val="FootnoteReference"/>
          <w:color w:val="0D0D0D" w:themeColor="text1" w:themeTint="F2"/>
          <w:szCs w:val="24"/>
        </w:rPr>
        <w:footnoteReference w:id="4"/>
      </w:r>
      <w:r w:rsidR="00E53940">
        <w:rPr>
          <w:color w:val="0D0D0D" w:themeColor="text1" w:themeTint="F2"/>
          <w:szCs w:val="24"/>
        </w:rPr>
        <w:t xml:space="preserve"> in many instances the nonprofit sector grew during the recession. However, this growth is limited to organizations focusing on healthcare and education. Organizations that focus on social assistance and the arts did not fare as well and are just beginning to experience </w:t>
      </w:r>
      <w:r>
        <w:rPr>
          <w:color w:val="0D0D0D" w:themeColor="text1" w:themeTint="F2"/>
          <w:szCs w:val="24"/>
        </w:rPr>
        <w:t xml:space="preserve">renewed </w:t>
      </w:r>
      <w:r w:rsidR="00E53940">
        <w:rPr>
          <w:color w:val="0D0D0D" w:themeColor="text1" w:themeTint="F2"/>
          <w:szCs w:val="24"/>
        </w:rPr>
        <w:t xml:space="preserve">growth in contributions. </w:t>
      </w:r>
    </w:p>
    <w:p w:rsidR="00A27295" w:rsidRDefault="00A27295" w:rsidP="002E4C02">
      <w:pPr>
        <w:spacing w:after="0"/>
        <w:rPr>
          <w:color w:val="0D0D0D" w:themeColor="text1" w:themeTint="F2"/>
          <w:szCs w:val="24"/>
        </w:rPr>
      </w:pPr>
    </w:p>
    <w:p w:rsidR="00A27295" w:rsidRDefault="00A27295" w:rsidP="002E4C02">
      <w:pPr>
        <w:spacing w:after="0"/>
        <w:rPr>
          <w:color w:val="0D0D0D" w:themeColor="text1" w:themeTint="F2"/>
          <w:szCs w:val="24"/>
        </w:rPr>
      </w:pPr>
      <w:r>
        <w:rPr>
          <w:color w:val="0D0D0D" w:themeColor="text1" w:themeTint="F2"/>
          <w:szCs w:val="24"/>
        </w:rPr>
        <w:t>In Illinois, non-profit organizations struggle with late payments from the state government and declining government contracts. According to the 2013 National Study of Nonprofit-Government Contracts &amp; Grants</w:t>
      </w:r>
      <w:r w:rsidR="00C41673">
        <w:rPr>
          <w:rStyle w:val="FootnoteReference"/>
          <w:color w:val="0D0D0D" w:themeColor="text1" w:themeTint="F2"/>
          <w:szCs w:val="24"/>
        </w:rPr>
        <w:footnoteReference w:id="5"/>
      </w:r>
      <w:r>
        <w:rPr>
          <w:color w:val="0D0D0D" w:themeColor="text1" w:themeTint="F2"/>
          <w:szCs w:val="24"/>
        </w:rPr>
        <w:t>, 75 percent of Illinois nonprofit organizations report</w:t>
      </w:r>
      <w:r w:rsidR="007030FD">
        <w:rPr>
          <w:color w:val="0D0D0D" w:themeColor="text1" w:themeTint="F2"/>
          <w:szCs w:val="24"/>
        </w:rPr>
        <w:t>ed</w:t>
      </w:r>
      <w:r>
        <w:rPr>
          <w:color w:val="0D0D0D" w:themeColor="text1" w:themeTint="F2"/>
          <w:szCs w:val="24"/>
        </w:rPr>
        <w:t xml:space="preserve"> late payments from the government</w:t>
      </w:r>
      <w:r w:rsidR="00C41673">
        <w:rPr>
          <w:color w:val="0D0D0D" w:themeColor="text1" w:themeTint="F2"/>
          <w:szCs w:val="24"/>
        </w:rPr>
        <w:t>. In addition, 51 percent report</w:t>
      </w:r>
      <w:r w:rsidR="007030FD">
        <w:rPr>
          <w:color w:val="0D0D0D" w:themeColor="text1" w:themeTint="F2"/>
          <w:szCs w:val="24"/>
        </w:rPr>
        <w:t>ed</w:t>
      </w:r>
      <w:r w:rsidR="00C41673">
        <w:rPr>
          <w:color w:val="0D0D0D" w:themeColor="text1" w:themeTint="F2"/>
          <w:szCs w:val="24"/>
        </w:rPr>
        <w:t xml:space="preserve"> that the greatest decline in their resources is from state government contracts, and when </w:t>
      </w:r>
      <w:r w:rsidR="007030FD">
        <w:rPr>
          <w:color w:val="0D0D0D" w:themeColor="text1" w:themeTint="F2"/>
          <w:szCs w:val="24"/>
        </w:rPr>
        <w:t>nonprofits have state contracts, le</w:t>
      </w:r>
      <w:r w:rsidR="00C41673">
        <w:rPr>
          <w:color w:val="0D0D0D" w:themeColor="text1" w:themeTint="F2"/>
          <w:szCs w:val="24"/>
        </w:rPr>
        <w:t>ss than one-third report</w:t>
      </w:r>
      <w:r w:rsidR="007030FD">
        <w:rPr>
          <w:color w:val="0D0D0D" w:themeColor="text1" w:themeTint="F2"/>
          <w:szCs w:val="24"/>
        </w:rPr>
        <w:t>ed</w:t>
      </w:r>
      <w:r w:rsidR="00C41673">
        <w:rPr>
          <w:color w:val="0D0D0D" w:themeColor="text1" w:themeTint="F2"/>
          <w:szCs w:val="24"/>
        </w:rPr>
        <w:t xml:space="preserve"> that government contracts cover</w:t>
      </w:r>
      <w:r w:rsidR="007030FD">
        <w:rPr>
          <w:color w:val="0D0D0D" w:themeColor="text1" w:themeTint="F2"/>
          <w:szCs w:val="24"/>
        </w:rPr>
        <w:t>ed</w:t>
      </w:r>
      <w:r w:rsidR="00C41673">
        <w:rPr>
          <w:color w:val="0D0D0D" w:themeColor="text1" w:themeTint="F2"/>
          <w:szCs w:val="24"/>
        </w:rPr>
        <w:t xml:space="preserve"> the full costs.</w:t>
      </w:r>
      <w:r>
        <w:rPr>
          <w:color w:val="0D0D0D" w:themeColor="text1" w:themeTint="F2"/>
          <w:szCs w:val="24"/>
        </w:rPr>
        <w:t xml:space="preserve">  </w:t>
      </w:r>
    </w:p>
    <w:p w:rsidR="00A27295" w:rsidRDefault="00A27295" w:rsidP="002E4C02">
      <w:pPr>
        <w:spacing w:after="0"/>
        <w:rPr>
          <w:color w:val="0D0D0D" w:themeColor="text1" w:themeTint="F2"/>
          <w:szCs w:val="24"/>
        </w:rPr>
      </w:pPr>
    </w:p>
    <w:p w:rsidR="008D70C9" w:rsidRDefault="008D70C9">
      <w:pPr>
        <w:rPr>
          <w:b/>
          <w:color w:val="0D0D0D" w:themeColor="text1" w:themeTint="F2"/>
          <w:sz w:val="24"/>
          <w:szCs w:val="24"/>
        </w:rPr>
      </w:pPr>
      <w:r>
        <w:rPr>
          <w:b/>
          <w:color w:val="0D0D0D" w:themeColor="text1" w:themeTint="F2"/>
          <w:sz w:val="24"/>
          <w:szCs w:val="24"/>
        </w:rPr>
        <w:br w:type="page"/>
      </w:r>
    </w:p>
    <w:p w:rsidR="00C13666" w:rsidRPr="00376CD5" w:rsidRDefault="00C13666" w:rsidP="002E4C02">
      <w:pPr>
        <w:spacing w:after="0"/>
        <w:rPr>
          <w:b/>
          <w:color w:val="0D0D0D" w:themeColor="text1" w:themeTint="F2"/>
          <w:sz w:val="24"/>
          <w:szCs w:val="24"/>
        </w:rPr>
      </w:pPr>
      <w:r w:rsidRPr="00376CD5">
        <w:rPr>
          <w:b/>
          <w:color w:val="0D0D0D" w:themeColor="text1" w:themeTint="F2"/>
          <w:sz w:val="24"/>
          <w:szCs w:val="24"/>
        </w:rPr>
        <w:lastRenderedPageBreak/>
        <w:t>Biggest assets and liabilities for Sangamon County employers</w:t>
      </w:r>
    </w:p>
    <w:p w:rsidR="00E46004" w:rsidRPr="00376CD5" w:rsidRDefault="00895A3D" w:rsidP="002E4C02">
      <w:pPr>
        <w:spacing w:after="0"/>
        <w:rPr>
          <w:szCs w:val="24"/>
        </w:rPr>
      </w:pPr>
      <w:r w:rsidRPr="00376CD5">
        <w:rPr>
          <w:szCs w:val="24"/>
        </w:rPr>
        <w:t xml:space="preserve">The </w:t>
      </w:r>
      <w:proofErr w:type="gramStart"/>
      <w:r w:rsidRPr="00376CD5">
        <w:rPr>
          <w:szCs w:val="24"/>
        </w:rPr>
        <w:t>Fall</w:t>
      </w:r>
      <w:proofErr w:type="gramEnd"/>
      <w:r w:rsidRPr="00376CD5">
        <w:rPr>
          <w:szCs w:val="24"/>
        </w:rPr>
        <w:t xml:space="preserve"> 2014 Sangamon County Economic Outlook Survey includes a topical section examining the assets and liabilities for doing business in Sangamon County. Respondents were given 23 items and asked to report whether the item was a “big asset,” “small asset,” “neither asset nor liability,” “small liability,” or “big liability” for doing business in Sangamon County. </w:t>
      </w:r>
      <w:r w:rsidR="009A2339">
        <w:rPr>
          <w:szCs w:val="24"/>
        </w:rPr>
        <w:t>Table 2</w:t>
      </w:r>
      <w:r w:rsidRPr="00376CD5">
        <w:rPr>
          <w:szCs w:val="24"/>
        </w:rPr>
        <w:t xml:space="preserve"> below presents the mean and standard deviation for responses to each item. Lower scores indicate more positive ratings. As seen in the table, respondents believe that “health care facilities and quality” is the greatest asset for doing business in Sangamon County while the “total state taxes on business” is the greatest liability. The other top asset in Sangamon County was “proximity to colleges/universities/technical schools.”  </w:t>
      </w:r>
    </w:p>
    <w:p w:rsidR="00895A3D" w:rsidRPr="00376CD5" w:rsidRDefault="00895A3D" w:rsidP="002E4C02">
      <w:pPr>
        <w:spacing w:after="0"/>
        <w:rPr>
          <w:szCs w:val="24"/>
        </w:rPr>
      </w:pPr>
    </w:p>
    <w:p w:rsidR="00895A3D" w:rsidRPr="00376CD5" w:rsidRDefault="00895A3D" w:rsidP="002E4C02">
      <w:pPr>
        <w:spacing w:after="0"/>
        <w:rPr>
          <w:b/>
          <w:szCs w:val="24"/>
        </w:rPr>
      </w:pPr>
      <w:r w:rsidRPr="00376CD5">
        <w:rPr>
          <w:szCs w:val="24"/>
        </w:rPr>
        <w:tab/>
      </w:r>
      <w:proofErr w:type="gramStart"/>
      <w:r w:rsidR="009A2339">
        <w:rPr>
          <w:b/>
          <w:szCs w:val="24"/>
        </w:rPr>
        <w:t>Table 2</w:t>
      </w:r>
      <w:r w:rsidRPr="00376CD5">
        <w:rPr>
          <w:b/>
          <w:szCs w:val="24"/>
        </w:rPr>
        <w:t>.</w:t>
      </w:r>
      <w:proofErr w:type="gramEnd"/>
      <w:r w:rsidRPr="00376CD5">
        <w:rPr>
          <w:b/>
          <w:szCs w:val="24"/>
        </w:rPr>
        <w:t xml:space="preserve"> Assets or liabilities for doing business in Sangamon County </w:t>
      </w:r>
    </w:p>
    <w:tbl>
      <w:tblPr>
        <w:tblStyle w:val="LightShading-Accent41"/>
        <w:tblW w:w="0" w:type="auto"/>
        <w:jc w:val="center"/>
        <w:tblLook w:val="04A0" w:firstRow="1" w:lastRow="0" w:firstColumn="1" w:lastColumn="0" w:noHBand="0" w:noVBand="1"/>
      </w:tblPr>
      <w:tblGrid>
        <w:gridCol w:w="5846"/>
        <w:gridCol w:w="2032"/>
      </w:tblGrid>
      <w:tr w:rsidR="001455CC" w:rsidRPr="00376CD5" w:rsidTr="007030FD">
        <w:trPr>
          <w:cnfStyle w:val="100000000000" w:firstRow="1" w:lastRow="0" w:firstColumn="0" w:lastColumn="0" w:oddVBand="0" w:evenVBand="0" w:oddHBand="0"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846" w:type="dxa"/>
            <w:tcBorders>
              <w:top w:val="single" w:sz="4" w:space="0" w:color="auto"/>
              <w:left w:val="single" w:sz="4" w:space="0" w:color="auto"/>
            </w:tcBorders>
          </w:tcPr>
          <w:p w:rsidR="001455CC" w:rsidRPr="00376CD5" w:rsidRDefault="001455CC" w:rsidP="007030FD">
            <w:pPr>
              <w:ind w:left="40"/>
              <w:rPr>
                <w:rFonts w:eastAsia="Times New Roman" w:cs="Calibri"/>
                <w:b w:val="0"/>
                <w:bCs w:val="0"/>
                <w:color w:val="000000"/>
              </w:rPr>
            </w:pPr>
            <w:r w:rsidRPr="00376CD5">
              <w:rPr>
                <w:rFonts w:eastAsia="Times New Roman" w:cs="Calibri"/>
                <w:color w:val="000000"/>
              </w:rPr>
              <w:t>Asset or liability?</w:t>
            </w:r>
          </w:p>
        </w:tc>
        <w:tc>
          <w:tcPr>
            <w:tcW w:w="2032" w:type="dxa"/>
            <w:tcBorders>
              <w:top w:val="single" w:sz="4" w:space="0" w:color="auto"/>
              <w:right w:val="single" w:sz="4" w:space="0" w:color="auto"/>
            </w:tcBorders>
          </w:tcPr>
          <w:p w:rsidR="001455CC" w:rsidRPr="00376CD5" w:rsidRDefault="001455CC" w:rsidP="007030FD">
            <w:pPr>
              <w:jc w:val="center"/>
              <w:cnfStyle w:val="100000000000" w:firstRow="1" w:lastRow="0" w:firstColumn="0" w:lastColumn="0" w:oddVBand="0" w:evenVBand="0" w:oddHBand="0" w:evenHBand="0" w:firstRowFirstColumn="0" w:firstRowLastColumn="0" w:lastRowFirstColumn="0" w:lastRowLastColumn="0"/>
              <w:rPr>
                <w:b w:val="0"/>
              </w:rPr>
            </w:pPr>
            <w:r w:rsidRPr="003B1452">
              <w:rPr>
                <w:color w:val="auto"/>
              </w:rPr>
              <w:t>Mean score (SD)</w:t>
            </w:r>
            <w:r w:rsidR="003B1452">
              <w:rPr>
                <w:rStyle w:val="FootnoteReference"/>
                <w:color w:val="auto"/>
              </w:rPr>
              <w:footnoteReference w:id="6"/>
            </w:r>
          </w:p>
        </w:tc>
      </w:tr>
      <w:tr w:rsidR="001455CC" w:rsidRPr="00376CD5" w:rsidTr="007030FD">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1455CC" w:rsidRPr="0034018E" w:rsidRDefault="001455CC" w:rsidP="007030FD">
            <w:pPr>
              <w:ind w:left="40"/>
              <w:rPr>
                <w:rFonts w:eastAsia="Times New Roman" w:cs="Calibri"/>
                <w:b w:val="0"/>
                <w:bCs w:val="0"/>
                <w:color w:val="000000"/>
              </w:rPr>
            </w:pPr>
            <w:r w:rsidRPr="0034018E">
              <w:rPr>
                <w:rFonts w:eastAsia="Times New Roman" w:cs="Calibri"/>
                <w:b w:val="0"/>
                <w:color w:val="000000"/>
              </w:rPr>
              <w:t>Health care facilities and quality</w:t>
            </w:r>
          </w:p>
        </w:tc>
        <w:tc>
          <w:tcPr>
            <w:tcW w:w="2032" w:type="dxa"/>
            <w:tcBorders>
              <w:right w:val="single" w:sz="4" w:space="0" w:color="auto"/>
            </w:tcBorders>
          </w:tcPr>
          <w:p w:rsidR="001455CC" w:rsidRPr="007030FD" w:rsidRDefault="001455CC" w:rsidP="007030FD">
            <w:pPr>
              <w:jc w:val="center"/>
              <w:cnfStyle w:val="000000100000" w:firstRow="0" w:lastRow="0" w:firstColumn="0" w:lastColumn="0" w:oddVBand="0" w:evenVBand="0" w:oddHBand="1" w:evenHBand="0" w:firstRowFirstColumn="0" w:firstRowLastColumn="0" w:lastRowFirstColumn="0" w:lastRowLastColumn="0"/>
              <w:rPr>
                <w:color w:val="auto"/>
              </w:rPr>
            </w:pPr>
            <w:r w:rsidRPr="007030FD">
              <w:rPr>
                <w:color w:val="auto"/>
              </w:rPr>
              <w:t>1.96(.870)</w:t>
            </w:r>
          </w:p>
        </w:tc>
      </w:tr>
      <w:tr w:rsidR="001455CC" w:rsidRPr="00376CD5" w:rsidTr="007030FD">
        <w:trPr>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1455CC" w:rsidRPr="0034018E" w:rsidRDefault="001455CC" w:rsidP="007030FD">
            <w:pPr>
              <w:ind w:left="40"/>
              <w:rPr>
                <w:rFonts w:eastAsia="Times New Roman" w:cs="Calibri"/>
                <w:b w:val="0"/>
                <w:bCs w:val="0"/>
                <w:color w:val="000000"/>
              </w:rPr>
            </w:pPr>
            <w:r w:rsidRPr="0034018E">
              <w:rPr>
                <w:rFonts w:eastAsia="Times New Roman" w:cs="Calibri"/>
                <w:b w:val="0"/>
                <w:color w:val="000000"/>
              </w:rPr>
              <w:t>Proximity to colleges/universities/technical schools</w:t>
            </w:r>
          </w:p>
        </w:tc>
        <w:tc>
          <w:tcPr>
            <w:tcW w:w="2032" w:type="dxa"/>
            <w:tcBorders>
              <w:right w:val="single" w:sz="4" w:space="0" w:color="auto"/>
            </w:tcBorders>
          </w:tcPr>
          <w:p w:rsidR="001455CC" w:rsidRPr="007030FD" w:rsidRDefault="001455CC" w:rsidP="007030FD">
            <w:pPr>
              <w:jc w:val="center"/>
              <w:cnfStyle w:val="000000000000" w:firstRow="0" w:lastRow="0" w:firstColumn="0" w:lastColumn="0" w:oddVBand="0" w:evenVBand="0" w:oddHBand="0" w:evenHBand="0" w:firstRowFirstColumn="0" w:firstRowLastColumn="0" w:lastRowFirstColumn="0" w:lastRowLastColumn="0"/>
              <w:rPr>
                <w:color w:val="auto"/>
              </w:rPr>
            </w:pPr>
            <w:r w:rsidRPr="007030FD">
              <w:rPr>
                <w:color w:val="auto"/>
              </w:rPr>
              <w:t>2.35(.844)</w:t>
            </w:r>
          </w:p>
        </w:tc>
      </w:tr>
      <w:tr w:rsidR="001455CC" w:rsidRPr="00376CD5" w:rsidTr="007030FD">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shd w:val="clear" w:color="auto" w:fill="808080" w:themeFill="background1" w:themeFillShade="80"/>
          </w:tcPr>
          <w:p w:rsidR="001455CC" w:rsidRPr="0034018E" w:rsidRDefault="001455CC" w:rsidP="007030FD">
            <w:pPr>
              <w:ind w:left="40"/>
              <w:rPr>
                <w:rFonts w:eastAsia="Times New Roman" w:cs="Calibri"/>
                <w:b w:val="0"/>
                <w:bCs w:val="0"/>
                <w:color w:val="000000"/>
              </w:rPr>
            </w:pPr>
          </w:p>
        </w:tc>
        <w:tc>
          <w:tcPr>
            <w:tcW w:w="2032" w:type="dxa"/>
            <w:tcBorders>
              <w:right w:val="single" w:sz="4" w:space="0" w:color="auto"/>
            </w:tcBorders>
            <w:shd w:val="clear" w:color="auto" w:fill="808080" w:themeFill="background1" w:themeFillShade="80"/>
          </w:tcPr>
          <w:p w:rsidR="001455CC" w:rsidRPr="007030FD" w:rsidRDefault="001455CC" w:rsidP="007030FD">
            <w:pPr>
              <w:jc w:val="center"/>
              <w:cnfStyle w:val="000000100000" w:firstRow="0" w:lastRow="0" w:firstColumn="0" w:lastColumn="0" w:oddVBand="0" w:evenVBand="0" w:oddHBand="1" w:evenHBand="0" w:firstRowFirstColumn="0" w:firstRowLastColumn="0" w:lastRowFirstColumn="0" w:lastRowLastColumn="0"/>
              <w:rPr>
                <w:color w:val="auto"/>
              </w:rPr>
            </w:pPr>
          </w:p>
        </w:tc>
      </w:tr>
      <w:tr w:rsidR="001455CC" w:rsidRPr="00376CD5" w:rsidTr="007030FD">
        <w:trPr>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1455CC" w:rsidRPr="0034018E" w:rsidRDefault="001455CC" w:rsidP="007030FD">
            <w:pPr>
              <w:ind w:left="40"/>
              <w:rPr>
                <w:rFonts w:eastAsia="Times New Roman" w:cs="Calibri"/>
                <w:b w:val="0"/>
                <w:bCs w:val="0"/>
                <w:color w:val="000000"/>
              </w:rPr>
            </w:pPr>
            <w:r w:rsidRPr="0034018E">
              <w:rPr>
                <w:rFonts w:eastAsia="Times New Roman" w:cs="Calibri"/>
                <w:b w:val="0"/>
                <w:color w:val="000000"/>
              </w:rPr>
              <w:t>Cost of living and housing</w:t>
            </w:r>
          </w:p>
        </w:tc>
        <w:tc>
          <w:tcPr>
            <w:tcW w:w="2032" w:type="dxa"/>
            <w:tcBorders>
              <w:right w:val="single" w:sz="4" w:space="0" w:color="auto"/>
            </w:tcBorders>
          </w:tcPr>
          <w:p w:rsidR="001455CC" w:rsidRPr="007030FD" w:rsidRDefault="001455CC" w:rsidP="007030FD">
            <w:pPr>
              <w:jc w:val="center"/>
              <w:cnfStyle w:val="000000000000" w:firstRow="0" w:lastRow="0" w:firstColumn="0" w:lastColumn="0" w:oddVBand="0" w:evenVBand="0" w:oddHBand="0" w:evenHBand="0" w:firstRowFirstColumn="0" w:firstRowLastColumn="0" w:lastRowFirstColumn="0" w:lastRowLastColumn="0"/>
              <w:rPr>
                <w:color w:val="auto"/>
              </w:rPr>
            </w:pPr>
            <w:r w:rsidRPr="007030FD">
              <w:rPr>
                <w:color w:val="auto"/>
              </w:rPr>
              <w:t>2.57(1.01)</w:t>
            </w:r>
          </w:p>
        </w:tc>
      </w:tr>
      <w:tr w:rsidR="001455CC" w:rsidRPr="00376CD5" w:rsidTr="007030FD">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1455CC" w:rsidRPr="0034018E" w:rsidRDefault="001455CC" w:rsidP="007030FD">
            <w:pPr>
              <w:ind w:left="40"/>
              <w:rPr>
                <w:rFonts w:eastAsia="Times New Roman" w:cs="Calibri"/>
                <w:b w:val="0"/>
                <w:bCs w:val="0"/>
                <w:color w:val="000000"/>
              </w:rPr>
            </w:pPr>
            <w:r w:rsidRPr="0034018E">
              <w:rPr>
                <w:rFonts w:eastAsia="Times New Roman" w:cs="Calibri"/>
                <w:b w:val="0"/>
                <w:color w:val="000000"/>
              </w:rPr>
              <w:t>Access/proximity to transportation systems (highway, rail, air)</w:t>
            </w:r>
          </w:p>
        </w:tc>
        <w:tc>
          <w:tcPr>
            <w:tcW w:w="2032" w:type="dxa"/>
            <w:tcBorders>
              <w:right w:val="single" w:sz="4" w:space="0" w:color="auto"/>
            </w:tcBorders>
          </w:tcPr>
          <w:p w:rsidR="001455CC" w:rsidRPr="007030FD" w:rsidRDefault="001455CC" w:rsidP="007030FD">
            <w:pPr>
              <w:jc w:val="center"/>
              <w:cnfStyle w:val="000000100000" w:firstRow="0" w:lastRow="0" w:firstColumn="0" w:lastColumn="0" w:oddVBand="0" w:evenVBand="0" w:oddHBand="1" w:evenHBand="0" w:firstRowFirstColumn="0" w:firstRowLastColumn="0" w:lastRowFirstColumn="0" w:lastRowLastColumn="0"/>
              <w:rPr>
                <w:color w:val="auto"/>
              </w:rPr>
            </w:pPr>
            <w:r w:rsidRPr="007030FD">
              <w:rPr>
                <w:color w:val="auto"/>
              </w:rPr>
              <w:t>2.59(.902)</w:t>
            </w:r>
          </w:p>
        </w:tc>
      </w:tr>
      <w:tr w:rsidR="001455CC" w:rsidRPr="00376CD5" w:rsidTr="007030FD">
        <w:trPr>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1455CC" w:rsidRPr="0034018E" w:rsidRDefault="001455CC" w:rsidP="007030FD">
            <w:pPr>
              <w:ind w:left="40"/>
              <w:rPr>
                <w:rFonts w:eastAsia="Times New Roman" w:cs="Calibri"/>
                <w:b w:val="0"/>
                <w:bCs w:val="0"/>
                <w:color w:val="000000"/>
              </w:rPr>
            </w:pPr>
            <w:r w:rsidRPr="0034018E">
              <w:rPr>
                <w:rFonts w:eastAsia="Times New Roman" w:cs="Calibri"/>
                <w:b w:val="0"/>
                <w:color w:val="000000"/>
              </w:rPr>
              <w:t>Crime and public safety services</w:t>
            </w:r>
          </w:p>
        </w:tc>
        <w:tc>
          <w:tcPr>
            <w:tcW w:w="2032" w:type="dxa"/>
            <w:tcBorders>
              <w:right w:val="single" w:sz="4" w:space="0" w:color="auto"/>
            </w:tcBorders>
          </w:tcPr>
          <w:p w:rsidR="001455CC" w:rsidRPr="007030FD" w:rsidRDefault="001455CC" w:rsidP="007030FD">
            <w:pPr>
              <w:jc w:val="center"/>
              <w:cnfStyle w:val="000000000000" w:firstRow="0" w:lastRow="0" w:firstColumn="0" w:lastColumn="0" w:oddVBand="0" w:evenVBand="0" w:oddHBand="0" w:evenHBand="0" w:firstRowFirstColumn="0" w:firstRowLastColumn="0" w:lastRowFirstColumn="0" w:lastRowLastColumn="0"/>
              <w:rPr>
                <w:color w:val="auto"/>
              </w:rPr>
            </w:pPr>
            <w:r w:rsidRPr="007030FD">
              <w:rPr>
                <w:color w:val="auto"/>
              </w:rPr>
              <w:t>2.71(.888)</w:t>
            </w:r>
          </w:p>
        </w:tc>
      </w:tr>
      <w:tr w:rsidR="001455CC" w:rsidRPr="00376CD5" w:rsidTr="007030FD">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1455CC" w:rsidRPr="0034018E" w:rsidRDefault="001455CC" w:rsidP="007030FD">
            <w:pPr>
              <w:ind w:left="40"/>
              <w:rPr>
                <w:rFonts w:eastAsia="Times New Roman" w:cs="Calibri"/>
                <w:b w:val="0"/>
                <w:bCs w:val="0"/>
                <w:color w:val="000000"/>
              </w:rPr>
            </w:pPr>
            <w:r w:rsidRPr="0034018E">
              <w:rPr>
                <w:rFonts w:eastAsia="Times New Roman" w:cs="Calibri"/>
                <w:b w:val="0"/>
                <w:color w:val="000000"/>
              </w:rPr>
              <w:t>Being located in the state capital</w:t>
            </w:r>
          </w:p>
        </w:tc>
        <w:tc>
          <w:tcPr>
            <w:tcW w:w="2032" w:type="dxa"/>
            <w:tcBorders>
              <w:right w:val="single" w:sz="4" w:space="0" w:color="auto"/>
            </w:tcBorders>
          </w:tcPr>
          <w:p w:rsidR="001455CC" w:rsidRPr="007030FD" w:rsidRDefault="001455CC" w:rsidP="007030FD">
            <w:pPr>
              <w:jc w:val="center"/>
              <w:cnfStyle w:val="000000100000" w:firstRow="0" w:lastRow="0" w:firstColumn="0" w:lastColumn="0" w:oddVBand="0" w:evenVBand="0" w:oddHBand="1" w:evenHBand="0" w:firstRowFirstColumn="0" w:firstRowLastColumn="0" w:lastRowFirstColumn="0" w:lastRowLastColumn="0"/>
              <w:rPr>
                <w:color w:val="auto"/>
              </w:rPr>
            </w:pPr>
            <w:r w:rsidRPr="007030FD">
              <w:rPr>
                <w:color w:val="auto"/>
              </w:rPr>
              <w:t>2.72(.871)</w:t>
            </w:r>
          </w:p>
        </w:tc>
      </w:tr>
      <w:tr w:rsidR="001455CC" w:rsidRPr="00376CD5" w:rsidTr="007030FD">
        <w:trPr>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1455CC" w:rsidRPr="0034018E" w:rsidRDefault="001455CC" w:rsidP="007030FD">
            <w:pPr>
              <w:ind w:left="40"/>
              <w:rPr>
                <w:rFonts w:eastAsia="Times New Roman" w:cs="Calibri"/>
                <w:b w:val="0"/>
                <w:bCs w:val="0"/>
                <w:color w:val="000000"/>
              </w:rPr>
            </w:pPr>
            <w:r w:rsidRPr="0034018E">
              <w:rPr>
                <w:rFonts w:eastAsia="Times New Roman" w:cs="Calibri"/>
                <w:b w:val="0"/>
                <w:color w:val="000000"/>
              </w:rPr>
              <w:t>Recreational, social, and cultural opportunities</w:t>
            </w:r>
          </w:p>
        </w:tc>
        <w:tc>
          <w:tcPr>
            <w:tcW w:w="2032" w:type="dxa"/>
            <w:tcBorders>
              <w:right w:val="single" w:sz="4" w:space="0" w:color="auto"/>
            </w:tcBorders>
          </w:tcPr>
          <w:p w:rsidR="001455CC" w:rsidRPr="007030FD" w:rsidRDefault="001455CC" w:rsidP="007030FD">
            <w:pPr>
              <w:jc w:val="center"/>
              <w:cnfStyle w:val="000000000000" w:firstRow="0" w:lastRow="0" w:firstColumn="0" w:lastColumn="0" w:oddVBand="0" w:evenVBand="0" w:oddHBand="0" w:evenHBand="0" w:firstRowFirstColumn="0" w:firstRowLastColumn="0" w:lastRowFirstColumn="0" w:lastRowLastColumn="0"/>
              <w:rPr>
                <w:color w:val="auto"/>
              </w:rPr>
            </w:pPr>
            <w:r w:rsidRPr="007030FD">
              <w:rPr>
                <w:color w:val="auto"/>
              </w:rPr>
              <w:t>2.75(.851)</w:t>
            </w:r>
          </w:p>
        </w:tc>
      </w:tr>
      <w:tr w:rsidR="001455CC" w:rsidRPr="00376CD5" w:rsidTr="007030FD">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1455CC" w:rsidRPr="0034018E" w:rsidRDefault="001455CC" w:rsidP="007030FD">
            <w:pPr>
              <w:ind w:left="40"/>
              <w:rPr>
                <w:rFonts w:eastAsia="Times New Roman" w:cs="Calibri"/>
                <w:b w:val="0"/>
                <w:bCs w:val="0"/>
                <w:color w:val="000000"/>
              </w:rPr>
            </w:pPr>
            <w:r w:rsidRPr="0034018E">
              <w:rPr>
                <w:rFonts w:eastAsia="Times New Roman" w:cs="Calibri"/>
                <w:b w:val="0"/>
                <w:color w:val="000000"/>
              </w:rPr>
              <w:t>Cost of/ availability of land and business or expansion possibilities</w:t>
            </w:r>
          </w:p>
        </w:tc>
        <w:tc>
          <w:tcPr>
            <w:tcW w:w="2032" w:type="dxa"/>
            <w:tcBorders>
              <w:right w:val="single" w:sz="4" w:space="0" w:color="auto"/>
            </w:tcBorders>
          </w:tcPr>
          <w:p w:rsidR="001455CC" w:rsidRPr="007030FD" w:rsidRDefault="001455CC" w:rsidP="007030FD">
            <w:pPr>
              <w:jc w:val="center"/>
              <w:cnfStyle w:val="000000100000" w:firstRow="0" w:lastRow="0" w:firstColumn="0" w:lastColumn="0" w:oddVBand="0" w:evenVBand="0" w:oddHBand="1" w:evenHBand="0" w:firstRowFirstColumn="0" w:firstRowLastColumn="0" w:lastRowFirstColumn="0" w:lastRowLastColumn="0"/>
              <w:rPr>
                <w:color w:val="auto"/>
              </w:rPr>
            </w:pPr>
            <w:r w:rsidRPr="007030FD">
              <w:rPr>
                <w:color w:val="auto"/>
              </w:rPr>
              <w:t>2.78(.818)</w:t>
            </w:r>
          </w:p>
        </w:tc>
      </w:tr>
      <w:tr w:rsidR="001455CC" w:rsidRPr="00376CD5" w:rsidTr="007030FD">
        <w:trPr>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1455CC" w:rsidRPr="0034018E" w:rsidRDefault="001455CC" w:rsidP="007030FD">
            <w:pPr>
              <w:ind w:left="40"/>
              <w:rPr>
                <w:rFonts w:eastAsia="Times New Roman" w:cs="Calibri"/>
                <w:b w:val="0"/>
                <w:bCs w:val="0"/>
                <w:color w:val="000000"/>
              </w:rPr>
            </w:pPr>
            <w:r w:rsidRPr="0034018E">
              <w:rPr>
                <w:rFonts w:eastAsia="Times New Roman" w:cs="Calibri"/>
                <w:b w:val="0"/>
                <w:color w:val="000000"/>
              </w:rPr>
              <w:t>Access to/cost of communications networks</w:t>
            </w:r>
          </w:p>
        </w:tc>
        <w:tc>
          <w:tcPr>
            <w:tcW w:w="2032" w:type="dxa"/>
            <w:tcBorders>
              <w:right w:val="single" w:sz="4" w:space="0" w:color="auto"/>
            </w:tcBorders>
          </w:tcPr>
          <w:p w:rsidR="001455CC" w:rsidRPr="007030FD" w:rsidRDefault="001455CC" w:rsidP="007030FD">
            <w:pPr>
              <w:jc w:val="center"/>
              <w:cnfStyle w:val="000000000000" w:firstRow="0" w:lastRow="0" w:firstColumn="0" w:lastColumn="0" w:oddVBand="0" w:evenVBand="0" w:oddHBand="0" w:evenHBand="0" w:firstRowFirstColumn="0" w:firstRowLastColumn="0" w:lastRowFirstColumn="0" w:lastRowLastColumn="0"/>
              <w:rPr>
                <w:color w:val="auto"/>
              </w:rPr>
            </w:pPr>
            <w:r w:rsidRPr="007030FD">
              <w:rPr>
                <w:color w:val="auto"/>
              </w:rPr>
              <w:t>2.81(.808)</w:t>
            </w:r>
          </w:p>
        </w:tc>
      </w:tr>
      <w:tr w:rsidR="001455CC" w:rsidRPr="00376CD5" w:rsidTr="007030FD">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1455CC" w:rsidRPr="0034018E" w:rsidRDefault="001455CC" w:rsidP="007030FD">
            <w:pPr>
              <w:ind w:left="40"/>
              <w:rPr>
                <w:rFonts w:eastAsia="Times New Roman" w:cs="Calibri"/>
                <w:b w:val="0"/>
                <w:bCs w:val="0"/>
                <w:color w:val="000000"/>
              </w:rPr>
            </w:pPr>
            <w:r w:rsidRPr="0034018E">
              <w:rPr>
                <w:rFonts w:eastAsia="Times New Roman" w:cs="Calibri"/>
                <w:b w:val="0"/>
                <w:color w:val="000000"/>
              </w:rPr>
              <w:t>Utilities- access to/cost of (electricity, natural gas, water supply, waste disposal)</w:t>
            </w:r>
          </w:p>
        </w:tc>
        <w:tc>
          <w:tcPr>
            <w:tcW w:w="2032" w:type="dxa"/>
            <w:tcBorders>
              <w:right w:val="single" w:sz="4" w:space="0" w:color="auto"/>
            </w:tcBorders>
          </w:tcPr>
          <w:p w:rsidR="001455CC" w:rsidRPr="007030FD" w:rsidRDefault="001455CC" w:rsidP="007030FD">
            <w:pPr>
              <w:jc w:val="center"/>
              <w:cnfStyle w:val="000000100000" w:firstRow="0" w:lastRow="0" w:firstColumn="0" w:lastColumn="0" w:oddVBand="0" w:evenVBand="0" w:oddHBand="1" w:evenHBand="0" w:firstRowFirstColumn="0" w:firstRowLastColumn="0" w:lastRowFirstColumn="0" w:lastRowLastColumn="0"/>
              <w:rPr>
                <w:color w:val="auto"/>
              </w:rPr>
            </w:pPr>
            <w:r w:rsidRPr="007030FD">
              <w:rPr>
                <w:color w:val="auto"/>
              </w:rPr>
              <w:t>2.83(1.00)</w:t>
            </w:r>
          </w:p>
        </w:tc>
      </w:tr>
      <w:tr w:rsidR="001455CC" w:rsidRPr="00376CD5" w:rsidTr="007030FD">
        <w:trPr>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1455CC" w:rsidRPr="0034018E" w:rsidRDefault="001455CC" w:rsidP="007030FD">
            <w:pPr>
              <w:ind w:left="40"/>
              <w:rPr>
                <w:rFonts w:eastAsia="Times New Roman" w:cs="Calibri"/>
                <w:b w:val="0"/>
                <w:bCs w:val="0"/>
                <w:color w:val="000000"/>
              </w:rPr>
            </w:pPr>
            <w:r w:rsidRPr="0034018E">
              <w:rPr>
                <w:rFonts w:eastAsia="Times New Roman" w:cs="Calibri"/>
                <w:b w:val="0"/>
                <w:color w:val="000000"/>
              </w:rPr>
              <w:t>Environment and climate</w:t>
            </w:r>
          </w:p>
        </w:tc>
        <w:tc>
          <w:tcPr>
            <w:tcW w:w="2032" w:type="dxa"/>
            <w:tcBorders>
              <w:right w:val="single" w:sz="4" w:space="0" w:color="auto"/>
            </w:tcBorders>
          </w:tcPr>
          <w:p w:rsidR="001455CC" w:rsidRPr="007030FD" w:rsidRDefault="001455CC" w:rsidP="007030FD">
            <w:pPr>
              <w:jc w:val="center"/>
              <w:cnfStyle w:val="000000000000" w:firstRow="0" w:lastRow="0" w:firstColumn="0" w:lastColumn="0" w:oddVBand="0" w:evenVBand="0" w:oddHBand="0" w:evenHBand="0" w:firstRowFirstColumn="0" w:firstRowLastColumn="0" w:lastRowFirstColumn="0" w:lastRowLastColumn="0"/>
              <w:rPr>
                <w:color w:val="auto"/>
              </w:rPr>
            </w:pPr>
            <w:r w:rsidRPr="007030FD">
              <w:rPr>
                <w:color w:val="auto"/>
              </w:rPr>
              <w:t>2.87(.841)</w:t>
            </w:r>
          </w:p>
        </w:tc>
      </w:tr>
      <w:tr w:rsidR="001455CC" w:rsidRPr="00376CD5" w:rsidTr="007030FD">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1455CC" w:rsidRPr="0034018E" w:rsidRDefault="001455CC" w:rsidP="007030FD">
            <w:pPr>
              <w:ind w:left="40"/>
              <w:rPr>
                <w:rFonts w:eastAsia="Times New Roman" w:cs="Calibri"/>
                <w:b w:val="0"/>
                <w:bCs w:val="0"/>
                <w:color w:val="000000"/>
              </w:rPr>
            </w:pPr>
            <w:r w:rsidRPr="0034018E">
              <w:rPr>
                <w:rFonts w:eastAsia="Times New Roman" w:cs="Calibri"/>
                <w:b w:val="0"/>
                <w:color w:val="000000"/>
              </w:rPr>
              <w:t>Local government incentives to business</w:t>
            </w:r>
          </w:p>
        </w:tc>
        <w:tc>
          <w:tcPr>
            <w:tcW w:w="2032" w:type="dxa"/>
            <w:tcBorders>
              <w:right w:val="single" w:sz="4" w:space="0" w:color="auto"/>
            </w:tcBorders>
          </w:tcPr>
          <w:p w:rsidR="001455CC" w:rsidRPr="007030FD" w:rsidRDefault="001455CC" w:rsidP="007030FD">
            <w:pPr>
              <w:jc w:val="center"/>
              <w:cnfStyle w:val="000000100000" w:firstRow="0" w:lastRow="0" w:firstColumn="0" w:lastColumn="0" w:oddVBand="0" w:evenVBand="0" w:oddHBand="1" w:evenHBand="0" w:firstRowFirstColumn="0" w:firstRowLastColumn="0" w:lastRowFirstColumn="0" w:lastRowLastColumn="0"/>
              <w:rPr>
                <w:color w:val="auto"/>
              </w:rPr>
            </w:pPr>
            <w:r w:rsidRPr="007030FD">
              <w:rPr>
                <w:color w:val="auto"/>
              </w:rPr>
              <w:t>2.91(.905)</w:t>
            </w:r>
          </w:p>
        </w:tc>
      </w:tr>
      <w:tr w:rsidR="001455CC" w:rsidRPr="00376CD5" w:rsidTr="007030FD">
        <w:trPr>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1455CC" w:rsidRPr="0034018E" w:rsidRDefault="001455CC" w:rsidP="007030FD">
            <w:pPr>
              <w:ind w:left="40"/>
              <w:rPr>
                <w:rFonts w:eastAsia="Times New Roman" w:cs="Calibri"/>
                <w:b w:val="0"/>
                <w:bCs w:val="0"/>
                <w:color w:val="000000"/>
              </w:rPr>
            </w:pPr>
            <w:r w:rsidRPr="0034018E">
              <w:rPr>
                <w:rFonts w:eastAsia="Times New Roman" w:cs="Calibri"/>
                <w:b w:val="0"/>
                <w:color w:val="000000"/>
              </w:rPr>
              <w:t>K-12 education system</w:t>
            </w:r>
          </w:p>
        </w:tc>
        <w:tc>
          <w:tcPr>
            <w:tcW w:w="2032" w:type="dxa"/>
            <w:tcBorders>
              <w:right w:val="single" w:sz="4" w:space="0" w:color="auto"/>
            </w:tcBorders>
          </w:tcPr>
          <w:p w:rsidR="001455CC" w:rsidRPr="007030FD" w:rsidRDefault="001455CC" w:rsidP="007030FD">
            <w:pPr>
              <w:jc w:val="center"/>
              <w:cnfStyle w:val="000000000000" w:firstRow="0" w:lastRow="0" w:firstColumn="0" w:lastColumn="0" w:oddVBand="0" w:evenVBand="0" w:oddHBand="0" w:evenHBand="0" w:firstRowFirstColumn="0" w:firstRowLastColumn="0" w:lastRowFirstColumn="0" w:lastRowLastColumn="0"/>
              <w:rPr>
                <w:color w:val="auto"/>
              </w:rPr>
            </w:pPr>
            <w:r w:rsidRPr="007030FD">
              <w:rPr>
                <w:color w:val="auto"/>
              </w:rPr>
              <w:t>2.92(.929)</w:t>
            </w:r>
          </w:p>
        </w:tc>
      </w:tr>
      <w:tr w:rsidR="001455CC" w:rsidRPr="00376CD5" w:rsidTr="007030FD">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1455CC" w:rsidRPr="0034018E" w:rsidRDefault="001455CC" w:rsidP="007030FD">
            <w:pPr>
              <w:ind w:left="40"/>
              <w:rPr>
                <w:rFonts w:eastAsia="Times New Roman" w:cs="Calibri"/>
                <w:b w:val="0"/>
                <w:bCs w:val="0"/>
                <w:color w:val="000000"/>
              </w:rPr>
            </w:pPr>
            <w:r w:rsidRPr="0034018E">
              <w:rPr>
                <w:rFonts w:eastAsia="Times New Roman" w:cs="Calibri"/>
                <w:b w:val="0"/>
                <w:color w:val="000000"/>
              </w:rPr>
              <w:t>Local business climate and reputation</w:t>
            </w:r>
          </w:p>
        </w:tc>
        <w:tc>
          <w:tcPr>
            <w:tcW w:w="2032" w:type="dxa"/>
            <w:tcBorders>
              <w:right w:val="single" w:sz="4" w:space="0" w:color="auto"/>
            </w:tcBorders>
          </w:tcPr>
          <w:p w:rsidR="001455CC" w:rsidRPr="007030FD" w:rsidRDefault="001455CC" w:rsidP="007030FD">
            <w:pPr>
              <w:jc w:val="center"/>
              <w:cnfStyle w:val="000000100000" w:firstRow="0" w:lastRow="0" w:firstColumn="0" w:lastColumn="0" w:oddVBand="0" w:evenVBand="0" w:oddHBand="1" w:evenHBand="0" w:firstRowFirstColumn="0" w:firstRowLastColumn="0" w:lastRowFirstColumn="0" w:lastRowLastColumn="0"/>
              <w:rPr>
                <w:color w:val="auto"/>
              </w:rPr>
            </w:pPr>
            <w:r w:rsidRPr="007030FD">
              <w:rPr>
                <w:color w:val="auto"/>
              </w:rPr>
              <w:t>2.94(1.05)</w:t>
            </w:r>
          </w:p>
        </w:tc>
      </w:tr>
      <w:tr w:rsidR="001455CC" w:rsidRPr="00376CD5" w:rsidTr="007030FD">
        <w:trPr>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1455CC" w:rsidRPr="0034018E" w:rsidRDefault="001455CC" w:rsidP="007030FD">
            <w:pPr>
              <w:ind w:left="40"/>
              <w:rPr>
                <w:rFonts w:eastAsia="Times New Roman" w:cs="Calibri"/>
                <w:b w:val="0"/>
                <w:bCs w:val="0"/>
                <w:color w:val="000000"/>
              </w:rPr>
            </w:pPr>
            <w:r w:rsidRPr="0034018E">
              <w:rPr>
                <w:rFonts w:eastAsia="Times New Roman" w:cs="Calibri"/>
                <w:b w:val="0"/>
                <w:color w:val="000000"/>
              </w:rPr>
              <w:t>Availability of workforce</w:t>
            </w:r>
          </w:p>
        </w:tc>
        <w:tc>
          <w:tcPr>
            <w:tcW w:w="2032" w:type="dxa"/>
            <w:tcBorders>
              <w:right w:val="single" w:sz="4" w:space="0" w:color="auto"/>
            </w:tcBorders>
          </w:tcPr>
          <w:p w:rsidR="001455CC" w:rsidRPr="007030FD" w:rsidRDefault="001455CC" w:rsidP="007030FD">
            <w:pPr>
              <w:jc w:val="center"/>
              <w:cnfStyle w:val="000000000000" w:firstRow="0" w:lastRow="0" w:firstColumn="0" w:lastColumn="0" w:oddVBand="0" w:evenVBand="0" w:oddHBand="0" w:evenHBand="0" w:firstRowFirstColumn="0" w:firstRowLastColumn="0" w:lastRowFirstColumn="0" w:lastRowLastColumn="0"/>
              <w:rPr>
                <w:color w:val="auto"/>
              </w:rPr>
            </w:pPr>
            <w:r w:rsidRPr="007030FD">
              <w:rPr>
                <w:color w:val="auto"/>
              </w:rPr>
              <w:t>2.98(1.05)</w:t>
            </w:r>
          </w:p>
        </w:tc>
      </w:tr>
      <w:tr w:rsidR="001455CC" w:rsidRPr="00376CD5" w:rsidTr="007030FD">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1455CC" w:rsidRPr="0034018E" w:rsidRDefault="001455CC" w:rsidP="007030FD">
            <w:pPr>
              <w:ind w:left="40"/>
              <w:rPr>
                <w:rFonts w:eastAsia="Times New Roman" w:cs="Calibri"/>
                <w:b w:val="0"/>
                <w:bCs w:val="0"/>
                <w:color w:val="000000"/>
              </w:rPr>
            </w:pPr>
            <w:r w:rsidRPr="0034018E">
              <w:rPr>
                <w:rFonts w:eastAsia="Times New Roman" w:cs="Calibri"/>
                <w:b w:val="0"/>
                <w:color w:val="000000"/>
              </w:rPr>
              <w:t>Quality of workforce</w:t>
            </w:r>
          </w:p>
        </w:tc>
        <w:tc>
          <w:tcPr>
            <w:tcW w:w="2032" w:type="dxa"/>
            <w:tcBorders>
              <w:right w:val="single" w:sz="4" w:space="0" w:color="auto"/>
            </w:tcBorders>
          </w:tcPr>
          <w:p w:rsidR="001455CC" w:rsidRPr="007030FD" w:rsidRDefault="001455CC" w:rsidP="007030FD">
            <w:pPr>
              <w:jc w:val="center"/>
              <w:cnfStyle w:val="000000100000" w:firstRow="0" w:lastRow="0" w:firstColumn="0" w:lastColumn="0" w:oddVBand="0" w:evenVBand="0" w:oddHBand="1" w:evenHBand="0" w:firstRowFirstColumn="0" w:firstRowLastColumn="0" w:lastRowFirstColumn="0" w:lastRowLastColumn="0"/>
              <w:rPr>
                <w:color w:val="auto"/>
              </w:rPr>
            </w:pPr>
            <w:r w:rsidRPr="007030FD">
              <w:rPr>
                <w:color w:val="auto"/>
              </w:rPr>
              <w:t>3.01(1.16)</w:t>
            </w:r>
          </w:p>
        </w:tc>
      </w:tr>
      <w:tr w:rsidR="001455CC" w:rsidRPr="00376CD5" w:rsidTr="007030FD">
        <w:trPr>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1455CC" w:rsidRPr="0034018E" w:rsidRDefault="001455CC" w:rsidP="007030FD">
            <w:pPr>
              <w:ind w:left="40"/>
              <w:rPr>
                <w:rFonts w:eastAsia="Times New Roman" w:cs="Calibri"/>
                <w:b w:val="0"/>
                <w:bCs w:val="0"/>
                <w:color w:val="000000"/>
              </w:rPr>
            </w:pPr>
            <w:r w:rsidRPr="0034018E">
              <w:rPr>
                <w:rFonts w:eastAsia="Times New Roman" w:cs="Calibri"/>
                <w:b w:val="0"/>
                <w:color w:val="000000"/>
              </w:rPr>
              <w:t>State government incentives to business</w:t>
            </w:r>
          </w:p>
        </w:tc>
        <w:tc>
          <w:tcPr>
            <w:tcW w:w="2032" w:type="dxa"/>
            <w:tcBorders>
              <w:right w:val="single" w:sz="4" w:space="0" w:color="auto"/>
            </w:tcBorders>
          </w:tcPr>
          <w:p w:rsidR="001455CC" w:rsidRPr="007030FD" w:rsidRDefault="001455CC" w:rsidP="007030FD">
            <w:pPr>
              <w:jc w:val="center"/>
              <w:cnfStyle w:val="000000000000" w:firstRow="0" w:lastRow="0" w:firstColumn="0" w:lastColumn="0" w:oddVBand="0" w:evenVBand="0" w:oddHBand="0" w:evenHBand="0" w:firstRowFirstColumn="0" w:firstRowLastColumn="0" w:lastRowFirstColumn="0" w:lastRowLastColumn="0"/>
              <w:rPr>
                <w:color w:val="auto"/>
              </w:rPr>
            </w:pPr>
            <w:r w:rsidRPr="007030FD">
              <w:rPr>
                <w:color w:val="auto"/>
              </w:rPr>
              <w:t>3.22(.973)</w:t>
            </w:r>
          </w:p>
        </w:tc>
      </w:tr>
      <w:tr w:rsidR="001455CC" w:rsidRPr="00376CD5" w:rsidTr="007030FD">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1455CC" w:rsidRPr="0034018E" w:rsidRDefault="001455CC" w:rsidP="007030FD">
            <w:pPr>
              <w:ind w:left="40"/>
              <w:rPr>
                <w:rFonts w:eastAsia="Times New Roman" w:cs="Calibri"/>
                <w:b w:val="0"/>
                <w:bCs w:val="0"/>
                <w:color w:val="000000"/>
              </w:rPr>
            </w:pPr>
            <w:r w:rsidRPr="0034018E">
              <w:rPr>
                <w:rFonts w:eastAsia="Times New Roman" w:cs="Calibri"/>
                <w:b w:val="0"/>
                <w:color w:val="000000"/>
              </w:rPr>
              <w:t>Local zoning/permits and regulations</w:t>
            </w:r>
          </w:p>
        </w:tc>
        <w:tc>
          <w:tcPr>
            <w:tcW w:w="2032" w:type="dxa"/>
            <w:tcBorders>
              <w:right w:val="single" w:sz="4" w:space="0" w:color="auto"/>
            </w:tcBorders>
          </w:tcPr>
          <w:p w:rsidR="001455CC" w:rsidRPr="007030FD" w:rsidRDefault="001455CC" w:rsidP="007030FD">
            <w:pPr>
              <w:jc w:val="center"/>
              <w:cnfStyle w:val="000000100000" w:firstRow="0" w:lastRow="0" w:firstColumn="0" w:lastColumn="0" w:oddVBand="0" w:evenVBand="0" w:oddHBand="1" w:evenHBand="0" w:firstRowFirstColumn="0" w:firstRowLastColumn="0" w:lastRowFirstColumn="0" w:lastRowLastColumn="0"/>
              <w:rPr>
                <w:color w:val="auto"/>
              </w:rPr>
            </w:pPr>
            <w:r w:rsidRPr="007030FD">
              <w:rPr>
                <w:color w:val="auto"/>
              </w:rPr>
              <w:t>3.50(.849)</w:t>
            </w:r>
          </w:p>
        </w:tc>
      </w:tr>
      <w:tr w:rsidR="001455CC" w:rsidRPr="00376CD5" w:rsidTr="007030FD">
        <w:trPr>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shd w:val="clear" w:color="auto" w:fill="808080" w:themeFill="background1" w:themeFillShade="80"/>
          </w:tcPr>
          <w:p w:rsidR="001455CC" w:rsidRPr="0034018E" w:rsidRDefault="001455CC" w:rsidP="007030FD">
            <w:pPr>
              <w:ind w:left="40"/>
              <w:rPr>
                <w:rFonts w:eastAsia="Times New Roman" w:cs="Calibri"/>
                <w:b w:val="0"/>
                <w:bCs w:val="0"/>
                <w:color w:val="000000"/>
              </w:rPr>
            </w:pPr>
          </w:p>
        </w:tc>
        <w:tc>
          <w:tcPr>
            <w:tcW w:w="2032" w:type="dxa"/>
            <w:tcBorders>
              <w:right w:val="single" w:sz="4" w:space="0" w:color="auto"/>
            </w:tcBorders>
            <w:shd w:val="clear" w:color="auto" w:fill="808080" w:themeFill="background1" w:themeFillShade="80"/>
          </w:tcPr>
          <w:p w:rsidR="001455CC" w:rsidRPr="007030FD" w:rsidRDefault="001455CC" w:rsidP="007030FD">
            <w:pPr>
              <w:jc w:val="center"/>
              <w:cnfStyle w:val="000000000000" w:firstRow="0" w:lastRow="0" w:firstColumn="0" w:lastColumn="0" w:oddVBand="0" w:evenVBand="0" w:oddHBand="0" w:evenHBand="0" w:firstRowFirstColumn="0" w:firstRowLastColumn="0" w:lastRowFirstColumn="0" w:lastRowLastColumn="0"/>
              <w:rPr>
                <w:color w:val="auto"/>
              </w:rPr>
            </w:pPr>
          </w:p>
        </w:tc>
      </w:tr>
      <w:tr w:rsidR="001455CC" w:rsidRPr="00376CD5" w:rsidTr="007030FD">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1455CC" w:rsidRPr="0034018E" w:rsidRDefault="001455CC" w:rsidP="007030FD">
            <w:pPr>
              <w:ind w:left="40"/>
              <w:rPr>
                <w:rFonts w:eastAsia="Times New Roman" w:cs="Calibri"/>
                <w:b w:val="0"/>
                <w:bCs w:val="0"/>
                <w:color w:val="000000"/>
              </w:rPr>
            </w:pPr>
            <w:r w:rsidRPr="0034018E">
              <w:rPr>
                <w:rFonts w:eastAsia="Times New Roman" w:cs="Calibri"/>
                <w:b w:val="0"/>
                <w:color w:val="000000"/>
              </w:rPr>
              <w:t>State permits and regulations</w:t>
            </w:r>
          </w:p>
        </w:tc>
        <w:tc>
          <w:tcPr>
            <w:tcW w:w="2032" w:type="dxa"/>
            <w:tcBorders>
              <w:right w:val="single" w:sz="4" w:space="0" w:color="auto"/>
            </w:tcBorders>
          </w:tcPr>
          <w:p w:rsidR="001455CC" w:rsidRPr="007030FD" w:rsidRDefault="001455CC" w:rsidP="007030FD">
            <w:pPr>
              <w:jc w:val="center"/>
              <w:cnfStyle w:val="000000100000" w:firstRow="0" w:lastRow="0" w:firstColumn="0" w:lastColumn="0" w:oddVBand="0" w:evenVBand="0" w:oddHBand="1" w:evenHBand="0" w:firstRowFirstColumn="0" w:firstRowLastColumn="0" w:lastRowFirstColumn="0" w:lastRowLastColumn="0"/>
              <w:rPr>
                <w:color w:val="auto"/>
              </w:rPr>
            </w:pPr>
            <w:r w:rsidRPr="007030FD">
              <w:rPr>
                <w:color w:val="auto"/>
              </w:rPr>
              <w:t>3.65(.814)</w:t>
            </w:r>
          </w:p>
        </w:tc>
      </w:tr>
      <w:tr w:rsidR="001455CC" w:rsidRPr="00376CD5" w:rsidTr="007030FD">
        <w:trPr>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1455CC" w:rsidRPr="0034018E" w:rsidRDefault="001455CC" w:rsidP="007030FD">
            <w:pPr>
              <w:ind w:left="40"/>
              <w:rPr>
                <w:rFonts w:eastAsia="Times New Roman" w:cs="Calibri"/>
                <w:b w:val="0"/>
                <w:bCs w:val="0"/>
                <w:color w:val="000000"/>
              </w:rPr>
            </w:pPr>
            <w:r w:rsidRPr="0034018E">
              <w:rPr>
                <w:rFonts w:eastAsia="Times New Roman" w:cs="Calibri"/>
                <w:b w:val="0"/>
                <w:color w:val="000000"/>
              </w:rPr>
              <w:t>Total local taxes on business</w:t>
            </w:r>
          </w:p>
        </w:tc>
        <w:tc>
          <w:tcPr>
            <w:tcW w:w="2032" w:type="dxa"/>
            <w:tcBorders>
              <w:right w:val="single" w:sz="4" w:space="0" w:color="auto"/>
            </w:tcBorders>
          </w:tcPr>
          <w:p w:rsidR="001455CC" w:rsidRPr="007030FD" w:rsidRDefault="001455CC" w:rsidP="007030FD">
            <w:pPr>
              <w:jc w:val="center"/>
              <w:cnfStyle w:val="000000000000" w:firstRow="0" w:lastRow="0" w:firstColumn="0" w:lastColumn="0" w:oddVBand="0" w:evenVBand="0" w:oddHBand="0" w:evenHBand="0" w:firstRowFirstColumn="0" w:firstRowLastColumn="0" w:lastRowFirstColumn="0" w:lastRowLastColumn="0"/>
              <w:rPr>
                <w:color w:val="auto"/>
              </w:rPr>
            </w:pPr>
            <w:r w:rsidRPr="007030FD">
              <w:rPr>
                <w:color w:val="auto"/>
              </w:rPr>
              <w:t>3.72(.976)</w:t>
            </w:r>
          </w:p>
        </w:tc>
      </w:tr>
      <w:tr w:rsidR="001455CC" w:rsidRPr="00376CD5" w:rsidTr="007030FD">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1455CC" w:rsidRPr="0034018E" w:rsidRDefault="001455CC" w:rsidP="007030FD">
            <w:pPr>
              <w:ind w:left="40"/>
              <w:rPr>
                <w:rFonts w:eastAsia="Times New Roman" w:cs="Calibri"/>
                <w:b w:val="0"/>
                <w:bCs w:val="0"/>
                <w:color w:val="000000"/>
              </w:rPr>
            </w:pPr>
            <w:r w:rsidRPr="0034018E">
              <w:rPr>
                <w:rFonts w:eastAsia="Times New Roman" w:cs="Calibri"/>
                <w:b w:val="0"/>
                <w:color w:val="000000"/>
              </w:rPr>
              <w:t>State business climate and reputation</w:t>
            </w:r>
          </w:p>
        </w:tc>
        <w:tc>
          <w:tcPr>
            <w:tcW w:w="2032" w:type="dxa"/>
            <w:tcBorders>
              <w:right w:val="single" w:sz="4" w:space="0" w:color="auto"/>
            </w:tcBorders>
          </w:tcPr>
          <w:p w:rsidR="001455CC" w:rsidRPr="007030FD" w:rsidRDefault="001455CC" w:rsidP="007030FD">
            <w:pPr>
              <w:jc w:val="center"/>
              <w:cnfStyle w:val="000000100000" w:firstRow="0" w:lastRow="0" w:firstColumn="0" w:lastColumn="0" w:oddVBand="0" w:evenVBand="0" w:oddHBand="1" w:evenHBand="0" w:firstRowFirstColumn="0" w:firstRowLastColumn="0" w:lastRowFirstColumn="0" w:lastRowLastColumn="0"/>
              <w:rPr>
                <w:color w:val="auto"/>
              </w:rPr>
            </w:pPr>
            <w:r w:rsidRPr="007030FD">
              <w:rPr>
                <w:color w:val="auto"/>
              </w:rPr>
              <w:t>3.81(1.17)</w:t>
            </w:r>
          </w:p>
        </w:tc>
      </w:tr>
      <w:tr w:rsidR="001455CC" w:rsidRPr="00376CD5" w:rsidTr="007030FD">
        <w:trPr>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1455CC" w:rsidRPr="0034018E" w:rsidRDefault="001455CC" w:rsidP="007030FD">
            <w:pPr>
              <w:ind w:left="40"/>
              <w:rPr>
                <w:rFonts w:eastAsia="Times New Roman" w:cs="Calibri"/>
                <w:b w:val="0"/>
                <w:bCs w:val="0"/>
                <w:color w:val="000000"/>
              </w:rPr>
            </w:pPr>
            <w:r w:rsidRPr="0034018E">
              <w:rPr>
                <w:rFonts w:eastAsia="Times New Roman" w:cs="Calibri"/>
                <w:b w:val="0"/>
                <w:color w:val="000000"/>
              </w:rPr>
              <w:t>Workers compensation processes</w:t>
            </w:r>
          </w:p>
        </w:tc>
        <w:tc>
          <w:tcPr>
            <w:tcW w:w="2032" w:type="dxa"/>
            <w:tcBorders>
              <w:right w:val="single" w:sz="4" w:space="0" w:color="auto"/>
            </w:tcBorders>
          </w:tcPr>
          <w:p w:rsidR="001455CC" w:rsidRPr="007030FD" w:rsidRDefault="001455CC" w:rsidP="007030FD">
            <w:pPr>
              <w:jc w:val="center"/>
              <w:cnfStyle w:val="000000000000" w:firstRow="0" w:lastRow="0" w:firstColumn="0" w:lastColumn="0" w:oddVBand="0" w:evenVBand="0" w:oddHBand="0" w:evenHBand="0" w:firstRowFirstColumn="0" w:firstRowLastColumn="0" w:lastRowFirstColumn="0" w:lastRowLastColumn="0"/>
              <w:rPr>
                <w:color w:val="auto"/>
              </w:rPr>
            </w:pPr>
            <w:r w:rsidRPr="007030FD">
              <w:rPr>
                <w:color w:val="auto"/>
              </w:rPr>
              <w:t>3.82(.969)</w:t>
            </w:r>
          </w:p>
        </w:tc>
      </w:tr>
      <w:tr w:rsidR="001455CC" w:rsidRPr="00376CD5" w:rsidTr="007030FD">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bottom w:val="single" w:sz="4" w:space="0" w:color="auto"/>
            </w:tcBorders>
          </w:tcPr>
          <w:p w:rsidR="001455CC" w:rsidRPr="0034018E" w:rsidRDefault="001455CC" w:rsidP="007030FD">
            <w:pPr>
              <w:ind w:left="40"/>
              <w:rPr>
                <w:rFonts w:eastAsia="Times New Roman" w:cs="Calibri"/>
                <w:b w:val="0"/>
                <w:bCs w:val="0"/>
                <w:color w:val="000000"/>
              </w:rPr>
            </w:pPr>
            <w:r w:rsidRPr="0034018E">
              <w:rPr>
                <w:rFonts w:eastAsia="Times New Roman" w:cs="Calibri"/>
                <w:b w:val="0"/>
                <w:color w:val="000000"/>
              </w:rPr>
              <w:t>Total state taxes on business</w:t>
            </w:r>
          </w:p>
        </w:tc>
        <w:tc>
          <w:tcPr>
            <w:tcW w:w="2032" w:type="dxa"/>
            <w:tcBorders>
              <w:bottom w:val="single" w:sz="4" w:space="0" w:color="auto"/>
              <w:right w:val="single" w:sz="4" w:space="0" w:color="auto"/>
            </w:tcBorders>
          </w:tcPr>
          <w:p w:rsidR="001455CC" w:rsidRPr="007030FD" w:rsidRDefault="001455CC" w:rsidP="007030FD">
            <w:pPr>
              <w:jc w:val="center"/>
              <w:cnfStyle w:val="000000100000" w:firstRow="0" w:lastRow="0" w:firstColumn="0" w:lastColumn="0" w:oddVBand="0" w:evenVBand="0" w:oddHBand="1" w:evenHBand="0" w:firstRowFirstColumn="0" w:firstRowLastColumn="0" w:lastRowFirstColumn="0" w:lastRowLastColumn="0"/>
              <w:rPr>
                <w:color w:val="auto"/>
              </w:rPr>
            </w:pPr>
            <w:r w:rsidRPr="007030FD">
              <w:rPr>
                <w:color w:val="auto"/>
              </w:rPr>
              <w:t>4.05(1.0)</w:t>
            </w:r>
          </w:p>
        </w:tc>
      </w:tr>
    </w:tbl>
    <w:p w:rsidR="00FB03DE" w:rsidRPr="00376CD5" w:rsidRDefault="00FB03DE" w:rsidP="002E4C02">
      <w:pPr>
        <w:spacing w:after="0"/>
        <w:rPr>
          <w:szCs w:val="24"/>
        </w:rPr>
      </w:pPr>
    </w:p>
    <w:p w:rsidR="00376CD5" w:rsidRPr="00376CD5" w:rsidRDefault="00FB03DE" w:rsidP="003B1452">
      <w:pPr>
        <w:jc w:val="center"/>
        <w:rPr>
          <w:rFonts w:eastAsia="Calibri" w:cs="Times New Roman"/>
          <w:sz w:val="24"/>
          <w:szCs w:val="24"/>
        </w:rPr>
      </w:pPr>
      <w:r w:rsidRPr="00376CD5">
        <w:rPr>
          <w:b/>
          <w:sz w:val="24"/>
          <w:szCs w:val="24"/>
        </w:rPr>
        <w:br w:type="page"/>
      </w:r>
      <w:r w:rsidR="00376CD5" w:rsidRPr="00376CD5">
        <w:rPr>
          <w:rFonts w:eastAsia="Calibri" w:cs="Times New Roman"/>
          <w:b/>
          <w:sz w:val="24"/>
          <w:szCs w:val="24"/>
        </w:rPr>
        <w:lastRenderedPageBreak/>
        <w:t>The Sangamon County Economy</w:t>
      </w:r>
    </w:p>
    <w:p w:rsidR="00376CD5" w:rsidRPr="00376CD5" w:rsidRDefault="00376CD5" w:rsidP="00376CD5">
      <w:pPr>
        <w:spacing w:line="240" w:lineRule="auto"/>
        <w:contextualSpacing/>
        <w:rPr>
          <w:rFonts w:eastAsia="Calibri" w:cs="Times New Roman"/>
        </w:rPr>
      </w:pPr>
      <w:r w:rsidRPr="00376CD5">
        <w:rPr>
          <w:rFonts w:eastAsia="Calibri" w:cs="Times New Roman"/>
        </w:rPr>
        <w:t xml:space="preserve">The </w:t>
      </w:r>
      <w:proofErr w:type="gramStart"/>
      <w:r w:rsidRPr="00376CD5">
        <w:rPr>
          <w:rFonts w:eastAsia="Calibri" w:cs="Times New Roman"/>
        </w:rPr>
        <w:t>Fall</w:t>
      </w:r>
      <w:proofErr w:type="gramEnd"/>
      <w:r w:rsidRPr="00376CD5">
        <w:rPr>
          <w:rFonts w:eastAsia="Calibri" w:cs="Times New Roman"/>
        </w:rPr>
        <w:t xml:space="preserve"> 2014 survey indicates mixed</w:t>
      </w:r>
      <w:r w:rsidR="00A9142E">
        <w:rPr>
          <w:rFonts w:eastAsia="Calibri" w:cs="Times New Roman"/>
        </w:rPr>
        <w:t xml:space="preserve"> </w:t>
      </w:r>
      <w:r w:rsidRPr="00376CD5">
        <w:rPr>
          <w:rFonts w:eastAsia="Calibri" w:cs="Times New Roman"/>
        </w:rPr>
        <w:t xml:space="preserve">expectations for the overall Sangamon County economy (see </w:t>
      </w:r>
      <w:r w:rsidR="00845A6D">
        <w:rPr>
          <w:rFonts w:eastAsia="Calibri" w:cs="Times New Roman"/>
        </w:rPr>
        <w:t>f</w:t>
      </w:r>
      <w:r w:rsidRPr="00376CD5">
        <w:rPr>
          <w:rFonts w:eastAsia="Calibri" w:cs="Times New Roman"/>
        </w:rPr>
        <w:t xml:space="preserve">igure </w:t>
      </w:r>
      <w:r w:rsidR="001455CC">
        <w:rPr>
          <w:rFonts w:eastAsia="Calibri" w:cs="Times New Roman"/>
        </w:rPr>
        <w:t>3</w:t>
      </w:r>
      <w:r w:rsidRPr="00376CD5">
        <w:rPr>
          <w:rFonts w:eastAsia="Calibri" w:cs="Times New Roman"/>
        </w:rPr>
        <w:t xml:space="preserve">). Thirty-seven percent of respondents </w:t>
      </w:r>
      <w:proofErr w:type="gramStart"/>
      <w:r w:rsidRPr="00376CD5">
        <w:rPr>
          <w:rFonts w:eastAsia="Calibri" w:cs="Times New Roman"/>
        </w:rPr>
        <w:t>report that they expect an increase in the overall economy, 43.4 percent expect</w:t>
      </w:r>
      <w:proofErr w:type="gramEnd"/>
      <w:r w:rsidR="0034018E">
        <w:rPr>
          <w:rFonts w:eastAsia="Calibri" w:cs="Times New Roman"/>
        </w:rPr>
        <w:t xml:space="preserve"> </w:t>
      </w:r>
      <w:r w:rsidRPr="00376CD5">
        <w:rPr>
          <w:rFonts w:eastAsia="Calibri" w:cs="Times New Roman"/>
        </w:rPr>
        <w:t xml:space="preserve">it to stay the same, and </w:t>
      </w:r>
      <w:r w:rsidR="0034018E">
        <w:rPr>
          <w:rFonts w:eastAsia="Calibri" w:cs="Times New Roman"/>
        </w:rPr>
        <w:t xml:space="preserve">29.5 </w:t>
      </w:r>
      <w:r w:rsidRPr="00376CD5">
        <w:rPr>
          <w:rFonts w:eastAsia="Calibri" w:cs="Times New Roman"/>
        </w:rPr>
        <w:t xml:space="preserve">percent expect a small decline over the next twelve months.  </w:t>
      </w:r>
    </w:p>
    <w:p w:rsidR="00376CD5" w:rsidRDefault="007A16BC" w:rsidP="00376CD5">
      <w:pPr>
        <w:spacing w:line="240" w:lineRule="auto"/>
        <w:contextualSpacing/>
        <w:rPr>
          <w:rFonts w:eastAsia="Calibri" w:cs="Times New Roman"/>
          <w:sz w:val="24"/>
        </w:rPr>
      </w:pPr>
      <w:r>
        <w:rPr>
          <w:noProof/>
        </w:rPr>
        <w:drawing>
          <wp:inline distT="0" distB="0" distL="0" distR="0" wp14:anchorId="08B76F97" wp14:editId="48CDF72B">
            <wp:extent cx="5838825" cy="3124200"/>
            <wp:effectExtent l="0" t="0" r="9525"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A2339" w:rsidRPr="00376CD5" w:rsidRDefault="009A2339" w:rsidP="00376CD5">
      <w:pPr>
        <w:spacing w:line="240" w:lineRule="auto"/>
        <w:contextualSpacing/>
        <w:rPr>
          <w:rFonts w:eastAsia="Calibri" w:cs="Times New Roman"/>
          <w:sz w:val="24"/>
        </w:rPr>
      </w:pPr>
    </w:p>
    <w:p w:rsidR="00C3732B" w:rsidRDefault="00376CD5" w:rsidP="00C3732B">
      <w:pPr>
        <w:spacing w:after="0"/>
        <w:rPr>
          <w:rFonts w:eastAsia="Calibri" w:cs="Times New Roman"/>
          <w:szCs w:val="24"/>
        </w:rPr>
      </w:pPr>
      <w:r w:rsidRPr="00376CD5">
        <w:rPr>
          <w:rFonts w:eastAsia="Calibri" w:cs="Times New Roman"/>
          <w:szCs w:val="24"/>
        </w:rPr>
        <w:t xml:space="preserve">Table </w:t>
      </w:r>
      <w:r w:rsidR="009A2339">
        <w:rPr>
          <w:rFonts w:eastAsia="Calibri" w:cs="Times New Roman"/>
          <w:szCs w:val="24"/>
        </w:rPr>
        <w:t>3</w:t>
      </w:r>
      <w:r w:rsidRPr="00376CD5">
        <w:rPr>
          <w:rFonts w:eastAsia="Calibri" w:cs="Times New Roman"/>
          <w:szCs w:val="24"/>
        </w:rPr>
        <w:t xml:space="preserve"> displays the current Intensity Index Scores, the </w:t>
      </w:r>
      <w:proofErr w:type="gramStart"/>
      <w:r w:rsidRPr="00376CD5">
        <w:rPr>
          <w:rFonts w:eastAsia="Calibri" w:cs="Times New Roman"/>
          <w:szCs w:val="24"/>
        </w:rPr>
        <w:t>Spring</w:t>
      </w:r>
      <w:proofErr w:type="gramEnd"/>
      <w:r w:rsidRPr="00376CD5">
        <w:rPr>
          <w:rFonts w:eastAsia="Calibri" w:cs="Times New Roman"/>
          <w:szCs w:val="24"/>
        </w:rPr>
        <w:t xml:space="preserve"> 2014 Intensity Index scores, as well as the changes between the scores. In general, respondents’ expectations are more positive for Sangamon County</w:t>
      </w:r>
      <w:r w:rsidR="00A9142E">
        <w:rPr>
          <w:rFonts w:eastAsia="Calibri" w:cs="Times New Roman"/>
          <w:szCs w:val="24"/>
        </w:rPr>
        <w:t xml:space="preserve"> now than in the </w:t>
      </w:r>
      <w:r w:rsidR="002D4806">
        <w:rPr>
          <w:rFonts w:eastAsia="Calibri" w:cs="Times New Roman"/>
          <w:szCs w:val="24"/>
        </w:rPr>
        <w:t>s</w:t>
      </w:r>
      <w:r w:rsidR="00A9142E">
        <w:rPr>
          <w:rFonts w:eastAsia="Calibri" w:cs="Times New Roman"/>
          <w:szCs w:val="24"/>
        </w:rPr>
        <w:t>pring.</w:t>
      </w:r>
      <w:r w:rsidRPr="00376CD5">
        <w:rPr>
          <w:rFonts w:eastAsia="Calibri" w:cs="Times New Roman"/>
          <w:szCs w:val="24"/>
        </w:rPr>
        <w:t xml:space="preserve"> As seen in the table, respondents are positive</w:t>
      </w:r>
      <w:r w:rsidR="007030FD">
        <w:rPr>
          <w:rFonts w:eastAsia="Calibri" w:cs="Times New Roman"/>
          <w:szCs w:val="24"/>
        </w:rPr>
        <w:t xml:space="preserve"> towards the majority of the</w:t>
      </w:r>
      <w:r w:rsidRPr="00376CD5">
        <w:rPr>
          <w:rFonts w:eastAsia="Calibri" w:cs="Times New Roman"/>
          <w:szCs w:val="24"/>
        </w:rPr>
        <w:t xml:space="preserve"> economic factors with </w:t>
      </w:r>
      <w:r w:rsidR="007030FD">
        <w:rPr>
          <w:rFonts w:eastAsia="Calibri" w:cs="Times New Roman"/>
          <w:szCs w:val="24"/>
        </w:rPr>
        <w:t>a couple noticeable exceptions. First, respondents report negative expectations for</w:t>
      </w:r>
      <w:r w:rsidRPr="00376CD5">
        <w:rPr>
          <w:rFonts w:eastAsia="Calibri" w:cs="Times New Roman"/>
          <w:szCs w:val="24"/>
        </w:rPr>
        <w:t xml:space="preserve"> contributions to non-profits in Sangamon County</w:t>
      </w:r>
      <w:r w:rsidR="00213DCD">
        <w:rPr>
          <w:rFonts w:eastAsia="Calibri" w:cs="Times New Roman"/>
          <w:szCs w:val="24"/>
        </w:rPr>
        <w:t>. H</w:t>
      </w:r>
      <w:r w:rsidRPr="00376CD5">
        <w:rPr>
          <w:rFonts w:eastAsia="Calibri" w:cs="Times New Roman"/>
          <w:szCs w:val="24"/>
        </w:rPr>
        <w:t xml:space="preserve">owever, contributions to non-profits are slightly more positive now than six months ago. </w:t>
      </w:r>
    </w:p>
    <w:p w:rsidR="00376CD5" w:rsidRPr="00376CD5" w:rsidRDefault="00376CD5" w:rsidP="00C3732B">
      <w:pPr>
        <w:spacing w:line="240" w:lineRule="auto"/>
        <w:contextualSpacing/>
        <w:rPr>
          <w:rFonts w:eastAsia="Calibri" w:cs="Times New Roman"/>
          <w:sz w:val="4"/>
          <w:szCs w:val="24"/>
        </w:rPr>
      </w:pPr>
    </w:p>
    <w:tbl>
      <w:tblPr>
        <w:tblStyle w:val="LightShading-Accent41"/>
        <w:tblpPr w:leftFromText="180" w:rightFromText="180" w:vertAnchor="text" w:horzAnchor="margin" w:tblpY="151"/>
        <w:tblW w:w="9391" w:type="dxa"/>
        <w:tblLayout w:type="fixed"/>
        <w:tblLook w:val="04A0" w:firstRow="1" w:lastRow="0" w:firstColumn="1" w:lastColumn="0" w:noHBand="0" w:noVBand="1"/>
      </w:tblPr>
      <w:tblGrid>
        <w:gridCol w:w="3360"/>
        <w:gridCol w:w="1674"/>
        <w:gridCol w:w="1791"/>
        <w:gridCol w:w="448"/>
        <w:gridCol w:w="269"/>
        <w:gridCol w:w="1189"/>
        <w:gridCol w:w="660"/>
      </w:tblGrid>
      <w:tr w:rsidR="00376CD5" w:rsidRPr="00376CD5" w:rsidTr="00376CD5">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273" w:type="dxa"/>
            <w:gridSpan w:val="4"/>
            <w:tcBorders>
              <w:top w:val="single" w:sz="4" w:space="0" w:color="auto"/>
              <w:left w:val="single" w:sz="4" w:space="0" w:color="auto"/>
            </w:tcBorders>
          </w:tcPr>
          <w:p w:rsidR="00376CD5" w:rsidRPr="00376CD5" w:rsidRDefault="00376CD5" w:rsidP="009A2339">
            <w:pPr>
              <w:spacing w:after="160"/>
              <w:contextualSpacing/>
              <w:rPr>
                <w:rFonts w:eastAsia="Calibri"/>
                <w:color w:val="auto"/>
              </w:rPr>
            </w:pPr>
            <w:r w:rsidRPr="00376CD5">
              <w:rPr>
                <w:rFonts w:eastAsia="Calibri"/>
                <w:color w:val="auto"/>
              </w:rPr>
              <w:t>Table</w:t>
            </w:r>
            <w:r w:rsidR="009A2339">
              <w:rPr>
                <w:rFonts w:eastAsia="Calibri"/>
                <w:color w:val="auto"/>
              </w:rPr>
              <w:t xml:space="preserve"> 3</w:t>
            </w:r>
            <w:r w:rsidRPr="00376CD5">
              <w:rPr>
                <w:rFonts w:eastAsia="Calibri"/>
                <w:color w:val="auto"/>
              </w:rPr>
              <w:t>. Intensity Index Scores for overall Sangamon County factors</w:t>
            </w:r>
          </w:p>
        </w:tc>
        <w:tc>
          <w:tcPr>
            <w:tcW w:w="269" w:type="dxa"/>
            <w:tcBorders>
              <w:top w:val="single" w:sz="4" w:space="0" w:color="auto"/>
            </w:tcBorders>
          </w:tcPr>
          <w:p w:rsidR="00376CD5" w:rsidRPr="00376CD5" w:rsidRDefault="00376CD5" w:rsidP="00376CD5">
            <w:pPr>
              <w:spacing w:after="160"/>
              <w:contextualSpacing/>
              <w:cnfStyle w:val="100000000000" w:firstRow="1" w:lastRow="0" w:firstColumn="0" w:lastColumn="0" w:oddVBand="0" w:evenVBand="0" w:oddHBand="0" w:evenHBand="0" w:firstRowFirstColumn="0" w:firstRowLastColumn="0" w:lastRowFirstColumn="0" w:lastRowLastColumn="0"/>
              <w:rPr>
                <w:rFonts w:eastAsia="Calibri"/>
                <w:color w:val="auto"/>
              </w:rPr>
            </w:pPr>
          </w:p>
        </w:tc>
        <w:tc>
          <w:tcPr>
            <w:tcW w:w="1189" w:type="dxa"/>
            <w:tcBorders>
              <w:top w:val="single" w:sz="4" w:space="0" w:color="auto"/>
            </w:tcBorders>
          </w:tcPr>
          <w:p w:rsidR="00376CD5" w:rsidRPr="00376CD5" w:rsidRDefault="00376CD5" w:rsidP="00376CD5">
            <w:pPr>
              <w:spacing w:after="160"/>
              <w:contextualSpacing/>
              <w:cnfStyle w:val="100000000000" w:firstRow="1" w:lastRow="0" w:firstColumn="0" w:lastColumn="0" w:oddVBand="0" w:evenVBand="0" w:oddHBand="0" w:evenHBand="0" w:firstRowFirstColumn="0" w:firstRowLastColumn="0" w:lastRowFirstColumn="0" w:lastRowLastColumn="0"/>
              <w:rPr>
                <w:rFonts w:eastAsia="Calibri"/>
                <w:color w:val="auto"/>
              </w:rPr>
            </w:pPr>
          </w:p>
        </w:tc>
        <w:tc>
          <w:tcPr>
            <w:tcW w:w="660" w:type="dxa"/>
            <w:tcBorders>
              <w:top w:val="single" w:sz="4" w:space="0" w:color="auto"/>
              <w:right w:val="single" w:sz="4" w:space="0" w:color="auto"/>
            </w:tcBorders>
          </w:tcPr>
          <w:p w:rsidR="00376CD5" w:rsidRPr="00376CD5" w:rsidRDefault="00376CD5" w:rsidP="00376CD5">
            <w:pPr>
              <w:spacing w:after="160"/>
              <w:contextualSpacing/>
              <w:cnfStyle w:val="100000000000" w:firstRow="1" w:lastRow="0" w:firstColumn="0" w:lastColumn="0" w:oddVBand="0" w:evenVBand="0" w:oddHBand="0" w:evenHBand="0" w:firstRowFirstColumn="0" w:firstRowLastColumn="0" w:lastRowFirstColumn="0" w:lastRowLastColumn="0"/>
              <w:rPr>
                <w:rFonts w:eastAsia="Calibri"/>
                <w:color w:val="auto"/>
              </w:rPr>
            </w:pPr>
          </w:p>
        </w:tc>
      </w:tr>
      <w:tr w:rsidR="00376CD5" w:rsidRPr="00376CD5" w:rsidTr="00C87E9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360" w:type="dxa"/>
            <w:tcBorders>
              <w:left w:val="single" w:sz="4" w:space="0" w:color="auto"/>
            </w:tcBorders>
            <w:shd w:val="clear" w:color="auto" w:fill="DDCAFA"/>
          </w:tcPr>
          <w:p w:rsidR="00376CD5" w:rsidRPr="00376CD5" w:rsidRDefault="00376CD5" w:rsidP="00376CD5">
            <w:pPr>
              <w:spacing w:after="160"/>
              <w:contextualSpacing/>
              <w:rPr>
                <w:rFonts w:eastAsia="Calibri"/>
                <w:color w:val="auto"/>
              </w:rPr>
            </w:pPr>
          </w:p>
        </w:tc>
        <w:tc>
          <w:tcPr>
            <w:tcW w:w="1674" w:type="dxa"/>
            <w:shd w:val="clear" w:color="auto" w:fill="DDCAFA"/>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b/>
                <w:color w:val="auto"/>
              </w:rPr>
            </w:pPr>
            <w:r w:rsidRPr="00376CD5">
              <w:rPr>
                <w:rFonts w:eastAsia="Calibri"/>
                <w:b/>
                <w:color w:val="auto"/>
              </w:rPr>
              <w:t xml:space="preserve">Fall 2014 </w:t>
            </w:r>
            <w:r w:rsidRPr="00376CD5">
              <w:rPr>
                <w:rFonts w:eastAsia="Calibri"/>
                <w:b/>
                <w:i/>
                <w:color w:val="auto"/>
              </w:rPr>
              <w:t>IIS</w:t>
            </w:r>
          </w:p>
        </w:tc>
        <w:tc>
          <w:tcPr>
            <w:tcW w:w="1791" w:type="dxa"/>
            <w:shd w:val="clear" w:color="auto" w:fill="DDCAFA"/>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b/>
                <w:color w:val="auto"/>
              </w:rPr>
            </w:pPr>
            <w:r w:rsidRPr="00376CD5">
              <w:rPr>
                <w:rFonts w:eastAsia="Calibri"/>
                <w:b/>
                <w:color w:val="auto"/>
              </w:rPr>
              <w:t xml:space="preserve">Spring 2014 </w:t>
            </w:r>
            <w:r w:rsidRPr="00376CD5">
              <w:rPr>
                <w:rFonts w:eastAsia="Calibri"/>
                <w:b/>
                <w:i/>
                <w:color w:val="auto"/>
              </w:rPr>
              <w:t>IIS</w:t>
            </w:r>
          </w:p>
        </w:tc>
        <w:tc>
          <w:tcPr>
            <w:tcW w:w="2566" w:type="dxa"/>
            <w:gridSpan w:val="4"/>
            <w:tcBorders>
              <w:right w:val="single" w:sz="4" w:space="0" w:color="auto"/>
            </w:tcBorders>
            <w:shd w:val="clear" w:color="auto" w:fill="DDCAFA"/>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b/>
                <w:color w:val="auto"/>
              </w:rPr>
            </w:pPr>
            <w:r w:rsidRPr="00376CD5">
              <w:rPr>
                <w:rFonts w:eastAsia="Calibri"/>
                <w:b/>
                <w:color w:val="auto"/>
              </w:rPr>
              <w:t xml:space="preserve">Difference </w:t>
            </w:r>
          </w:p>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b/>
                <w:color w:val="auto"/>
              </w:rPr>
            </w:pPr>
            <w:r w:rsidRPr="00376CD5">
              <w:rPr>
                <w:rFonts w:eastAsia="Calibri"/>
                <w:b/>
                <w:color w:val="auto"/>
              </w:rPr>
              <w:t>(Fall 2014- Spring 2014)</w:t>
            </w:r>
          </w:p>
        </w:tc>
      </w:tr>
      <w:tr w:rsidR="00376CD5" w:rsidRPr="00376CD5" w:rsidTr="00376CD5">
        <w:trPr>
          <w:trHeight w:val="309"/>
        </w:trPr>
        <w:tc>
          <w:tcPr>
            <w:cnfStyle w:val="001000000000" w:firstRow="0" w:lastRow="0" w:firstColumn="1" w:lastColumn="0" w:oddVBand="0" w:evenVBand="0" w:oddHBand="0" w:evenHBand="0" w:firstRowFirstColumn="0" w:firstRowLastColumn="0" w:lastRowFirstColumn="0" w:lastRowLastColumn="0"/>
            <w:tcW w:w="3360" w:type="dxa"/>
            <w:tcBorders>
              <w:left w:val="single" w:sz="4" w:space="0" w:color="auto"/>
            </w:tcBorders>
          </w:tcPr>
          <w:p w:rsidR="00376CD5" w:rsidRPr="00376CD5" w:rsidRDefault="00376CD5" w:rsidP="00376CD5">
            <w:pPr>
              <w:spacing w:after="160"/>
              <w:contextualSpacing/>
              <w:rPr>
                <w:rFonts w:eastAsia="Calibri"/>
                <w:b w:val="0"/>
                <w:color w:val="auto"/>
              </w:rPr>
            </w:pPr>
            <w:r w:rsidRPr="00376CD5">
              <w:rPr>
                <w:rFonts w:eastAsia="Calibri"/>
                <w:b w:val="0"/>
                <w:color w:val="auto"/>
              </w:rPr>
              <w:t>Overall employment</w:t>
            </w:r>
          </w:p>
        </w:tc>
        <w:tc>
          <w:tcPr>
            <w:tcW w:w="1674" w:type="dxa"/>
          </w:tcPr>
          <w:p w:rsidR="00376CD5" w:rsidRPr="00376CD5" w:rsidRDefault="0034018E"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+10</w:t>
            </w:r>
          </w:p>
        </w:tc>
        <w:tc>
          <w:tcPr>
            <w:tcW w:w="1791" w:type="dxa"/>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+4</w:t>
            </w:r>
          </w:p>
        </w:tc>
        <w:tc>
          <w:tcPr>
            <w:tcW w:w="2566" w:type="dxa"/>
            <w:gridSpan w:val="4"/>
            <w:tcBorders>
              <w:right w:val="single" w:sz="4" w:space="0" w:color="auto"/>
            </w:tcBorders>
          </w:tcPr>
          <w:p w:rsidR="00376CD5" w:rsidRPr="00376CD5" w:rsidRDefault="0034018E"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+56</w:t>
            </w:r>
          </w:p>
        </w:tc>
      </w:tr>
      <w:tr w:rsidR="00376CD5" w:rsidRPr="00376CD5" w:rsidTr="00C87E9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360" w:type="dxa"/>
            <w:tcBorders>
              <w:left w:val="single" w:sz="4" w:space="0" w:color="auto"/>
            </w:tcBorders>
            <w:shd w:val="clear" w:color="auto" w:fill="DDCAFA"/>
          </w:tcPr>
          <w:p w:rsidR="00376CD5" w:rsidRPr="00376CD5" w:rsidRDefault="00376CD5" w:rsidP="00376CD5">
            <w:pPr>
              <w:spacing w:after="160"/>
              <w:contextualSpacing/>
              <w:rPr>
                <w:rFonts w:eastAsia="Calibri"/>
                <w:b w:val="0"/>
                <w:color w:val="auto"/>
              </w:rPr>
            </w:pPr>
            <w:r w:rsidRPr="00376CD5">
              <w:rPr>
                <w:rFonts w:eastAsia="Calibri"/>
                <w:b w:val="0"/>
                <w:color w:val="auto"/>
              </w:rPr>
              <w:t>Capital investment</w:t>
            </w:r>
          </w:p>
        </w:tc>
        <w:tc>
          <w:tcPr>
            <w:tcW w:w="1674" w:type="dxa"/>
            <w:shd w:val="clear" w:color="auto" w:fill="DDCAFA"/>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+11</w:t>
            </w:r>
          </w:p>
        </w:tc>
        <w:tc>
          <w:tcPr>
            <w:tcW w:w="1791" w:type="dxa"/>
            <w:shd w:val="clear" w:color="auto" w:fill="DDCAFA"/>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+6</w:t>
            </w:r>
          </w:p>
        </w:tc>
        <w:tc>
          <w:tcPr>
            <w:tcW w:w="2566" w:type="dxa"/>
            <w:gridSpan w:val="4"/>
            <w:tcBorders>
              <w:right w:val="single" w:sz="4" w:space="0" w:color="auto"/>
            </w:tcBorders>
            <w:shd w:val="clear" w:color="auto" w:fill="DDCAFA"/>
          </w:tcPr>
          <w:p w:rsidR="00376CD5" w:rsidRPr="00376CD5" w:rsidRDefault="00376CD5" w:rsidP="0034018E">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+5</w:t>
            </w:r>
          </w:p>
        </w:tc>
      </w:tr>
      <w:tr w:rsidR="00376CD5" w:rsidRPr="00376CD5" w:rsidTr="00376CD5">
        <w:trPr>
          <w:trHeight w:val="293"/>
        </w:trPr>
        <w:tc>
          <w:tcPr>
            <w:cnfStyle w:val="001000000000" w:firstRow="0" w:lastRow="0" w:firstColumn="1" w:lastColumn="0" w:oddVBand="0" w:evenVBand="0" w:oddHBand="0" w:evenHBand="0" w:firstRowFirstColumn="0" w:firstRowLastColumn="0" w:lastRowFirstColumn="0" w:lastRowLastColumn="0"/>
            <w:tcW w:w="3360" w:type="dxa"/>
            <w:tcBorders>
              <w:left w:val="single" w:sz="4" w:space="0" w:color="auto"/>
            </w:tcBorders>
          </w:tcPr>
          <w:p w:rsidR="00376CD5" w:rsidRPr="00376CD5" w:rsidRDefault="00376CD5" w:rsidP="00376CD5">
            <w:pPr>
              <w:spacing w:after="160"/>
              <w:contextualSpacing/>
              <w:rPr>
                <w:rFonts w:eastAsia="Calibri"/>
                <w:b w:val="0"/>
                <w:color w:val="auto"/>
              </w:rPr>
            </w:pPr>
            <w:r w:rsidRPr="00376CD5">
              <w:rPr>
                <w:rFonts w:eastAsia="Calibri"/>
                <w:b w:val="0"/>
                <w:color w:val="auto"/>
              </w:rPr>
              <w:t>Interest rates</w:t>
            </w:r>
          </w:p>
        </w:tc>
        <w:tc>
          <w:tcPr>
            <w:tcW w:w="1674" w:type="dxa"/>
          </w:tcPr>
          <w:p w:rsidR="00376CD5" w:rsidRPr="00376CD5" w:rsidRDefault="00376CD5" w:rsidP="0034018E">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+2</w:t>
            </w:r>
            <w:r w:rsidR="0034018E">
              <w:rPr>
                <w:rFonts w:eastAsia="Calibri"/>
                <w:color w:val="auto"/>
              </w:rPr>
              <w:t>2</w:t>
            </w:r>
          </w:p>
        </w:tc>
        <w:tc>
          <w:tcPr>
            <w:tcW w:w="1791" w:type="dxa"/>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+25</w:t>
            </w:r>
          </w:p>
        </w:tc>
        <w:tc>
          <w:tcPr>
            <w:tcW w:w="2566" w:type="dxa"/>
            <w:gridSpan w:val="4"/>
            <w:tcBorders>
              <w:right w:val="single" w:sz="4" w:space="0" w:color="auto"/>
            </w:tcBorders>
          </w:tcPr>
          <w:p w:rsidR="00376CD5" w:rsidRPr="00376CD5" w:rsidRDefault="0034018E"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-3</w:t>
            </w:r>
          </w:p>
        </w:tc>
      </w:tr>
      <w:tr w:rsidR="00376CD5" w:rsidRPr="00376CD5" w:rsidTr="00C87E9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360" w:type="dxa"/>
            <w:tcBorders>
              <w:left w:val="single" w:sz="4" w:space="0" w:color="auto"/>
            </w:tcBorders>
            <w:shd w:val="clear" w:color="auto" w:fill="DDCAFA"/>
          </w:tcPr>
          <w:p w:rsidR="00376CD5" w:rsidRPr="00376CD5" w:rsidRDefault="00376CD5" w:rsidP="00376CD5">
            <w:pPr>
              <w:spacing w:after="160"/>
              <w:contextualSpacing/>
              <w:rPr>
                <w:rFonts w:eastAsia="Calibri"/>
                <w:b w:val="0"/>
                <w:color w:val="auto"/>
              </w:rPr>
            </w:pPr>
            <w:r w:rsidRPr="00376CD5">
              <w:rPr>
                <w:rFonts w:eastAsia="Calibri"/>
                <w:b w:val="0"/>
                <w:color w:val="auto"/>
              </w:rPr>
              <w:t>Gross sales/revenue</w:t>
            </w:r>
          </w:p>
        </w:tc>
        <w:tc>
          <w:tcPr>
            <w:tcW w:w="1674" w:type="dxa"/>
            <w:shd w:val="clear" w:color="auto" w:fill="DDCAFA"/>
          </w:tcPr>
          <w:p w:rsidR="00376CD5" w:rsidRPr="00376CD5" w:rsidRDefault="00376CD5" w:rsidP="0034018E">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+19</w:t>
            </w:r>
          </w:p>
        </w:tc>
        <w:tc>
          <w:tcPr>
            <w:tcW w:w="1791" w:type="dxa"/>
            <w:shd w:val="clear" w:color="auto" w:fill="DDCAFA"/>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+16</w:t>
            </w:r>
          </w:p>
        </w:tc>
        <w:tc>
          <w:tcPr>
            <w:tcW w:w="2566" w:type="dxa"/>
            <w:gridSpan w:val="4"/>
            <w:tcBorders>
              <w:right w:val="single" w:sz="4" w:space="0" w:color="auto"/>
            </w:tcBorders>
            <w:shd w:val="clear" w:color="auto" w:fill="DDCAFA"/>
          </w:tcPr>
          <w:p w:rsidR="00376CD5" w:rsidRPr="00376CD5" w:rsidRDefault="00376CD5" w:rsidP="0034018E">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+3</w:t>
            </w:r>
          </w:p>
        </w:tc>
      </w:tr>
      <w:tr w:rsidR="00376CD5" w:rsidRPr="00376CD5" w:rsidTr="00376CD5">
        <w:trPr>
          <w:trHeight w:val="293"/>
        </w:trPr>
        <w:tc>
          <w:tcPr>
            <w:cnfStyle w:val="001000000000" w:firstRow="0" w:lastRow="0" w:firstColumn="1" w:lastColumn="0" w:oddVBand="0" w:evenVBand="0" w:oddHBand="0" w:evenHBand="0" w:firstRowFirstColumn="0" w:firstRowLastColumn="0" w:lastRowFirstColumn="0" w:lastRowLastColumn="0"/>
            <w:tcW w:w="3360" w:type="dxa"/>
            <w:tcBorders>
              <w:left w:val="single" w:sz="4" w:space="0" w:color="auto"/>
            </w:tcBorders>
          </w:tcPr>
          <w:p w:rsidR="00376CD5" w:rsidRPr="00376CD5" w:rsidRDefault="00376CD5" w:rsidP="00376CD5">
            <w:pPr>
              <w:spacing w:after="160"/>
              <w:contextualSpacing/>
              <w:rPr>
                <w:rFonts w:eastAsia="Calibri"/>
                <w:b w:val="0"/>
                <w:color w:val="auto"/>
              </w:rPr>
            </w:pPr>
            <w:r w:rsidRPr="00376CD5">
              <w:rPr>
                <w:rFonts w:eastAsia="Calibri"/>
                <w:b w:val="0"/>
                <w:color w:val="auto"/>
              </w:rPr>
              <w:t>Inflation/ price of goods</w:t>
            </w:r>
          </w:p>
        </w:tc>
        <w:tc>
          <w:tcPr>
            <w:tcW w:w="1674" w:type="dxa"/>
          </w:tcPr>
          <w:p w:rsidR="00376CD5" w:rsidRPr="00376CD5" w:rsidRDefault="0034018E"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+40</w:t>
            </w:r>
          </w:p>
        </w:tc>
        <w:tc>
          <w:tcPr>
            <w:tcW w:w="1791" w:type="dxa"/>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+44</w:t>
            </w:r>
          </w:p>
        </w:tc>
        <w:tc>
          <w:tcPr>
            <w:tcW w:w="2566" w:type="dxa"/>
            <w:gridSpan w:val="4"/>
            <w:tcBorders>
              <w:right w:val="single" w:sz="4" w:space="0" w:color="auto"/>
            </w:tcBorders>
          </w:tcPr>
          <w:p w:rsidR="00376CD5" w:rsidRPr="00376CD5" w:rsidRDefault="0034018E" w:rsidP="0034018E">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-4</w:t>
            </w:r>
          </w:p>
        </w:tc>
      </w:tr>
      <w:tr w:rsidR="00376CD5" w:rsidRPr="00376CD5" w:rsidTr="00C87E9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360" w:type="dxa"/>
            <w:tcBorders>
              <w:left w:val="single" w:sz="4" w:space="0" w:color="auto"/>
            </w:tcBorders>
            <w:shd w:val="clear" w:color="auto" w:fill="DDCAFA"/>
          </w:tcPr>
          <w:p w:rsidR="00376CD5" w:rsidRPr="00376CD5" w:rsidRDefault="00376CD5" w:rsidP="00376CD5">
            <w:pPr>
              <w:spacing w:after="160"/>
              <w:contextualSpacing/>
              <w:rPr>
                <w:rFonts w:eastAsia="Calibri"/>
                <w:b w:val="0"/>
                <w:color w:val="auto"/>
              </w:rPr>
            </w:pPr>
            <w:r w:rsidRPr="00376CD5">
              <w:rPr>
                <w:rFonts w:eastAsia="Calibri"/>
                <w:b w:val="0"/>
                <w:color w:val="auto"/>
              </w:rPr>
              <w:t>Contributions to non-profits</w:t>
            </w:r>
          </w:p>
        </w:tc>
        <w:tc>
          <w:tcPr>
            <w:tcW w:w="1674" w:type="dxa"/>
            <w:shd w:val="clear" w:color="auto" w:fill="DDCAFA"/>
          </w:tcPr>
          <w:p w:rsidR="00376CD5" w:rsidRPr="00376CD5" w:rsidRDefault="0034018E"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-11</w:t>
            </w:r>
          </w:p>
        </w:tc>
        <w:tc>
          <w:tcPr>
            <w:tcW w:w="1791" w:type="dxa"/>
            <w:shd w:val="clear" w:color="auto" w:fill="DDCAFA"/>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-12</w:t>
            </w:r>
          </w:p>
        </w:tc>
        <w:tc>
          <w:tcPr>
            <w:tcW w:w="2566" w:type="dxa"/>
            <w:gridSpan w:val="4"/>
            <w:tcBorders>
              <w:right w:val="single" w:sz="4" w:space="0" w:color="auto"/>
            </w:tcBorders>
            <w:shd w:val="clear" w:color="auto" w:fill="DDCAFA"/>
          </w:tcPr>
          <w:p w:rsidR="00376CD5" w:rsidRPr="00376CD5" w:rsidRDefault="00376CD5" w:rsidP="0034018E">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w:t>
            </w:r>
            <w:r w:rsidR="0034018E">
              <w:rPr>
                <w:rFonts w:eastAsia="Calibri"/>
                <w:color w:val="auto"/>
              </w:rPr>
              <w:t>1</w:t>
            </w:r>
          </w:p>
        </w:tc>
      </w:tr>
      <w:tr w:rsidR="00376CD5" w:rsidRPr="00376CD5" w:rsidTr="00376CD5">
        <w:trPr>
          <w:trHeight w:val="293"/>
        </w:trPr>
        <w:tc>
          <w:tcPr>
            <w:cnfStyle w:val="001000000000" w:firstRow="0" w:lastRow="0" w:firstColumn="1" w:lastColumn="0" w:oddVBand="0" w:evenVBand="0" w:oddHBand="0" w:evenHBand="0" w:firstRowFirstColumn="0" w:firstRowLastColumn="0" w:lastRowFirstColumn="0" w:lastRowLastColumn="0"/>
            <w:tcW w:w="3360" w:type="dxa"/>
            <w:tcBorders>
              <w:left w:val="single" w:sz="4" w:space="0" w:color="auto"/>
              <w:bottom w:val="single" w:sz="4" w:space="0" w:color="auto"/>
            </w:tcBorders>
          </w:tcPr>
          <w:p w:rsidR="00376CD5" w:rsidRPr="00376CD5" w:rsidRDefault="00376CD5" w:rsidP="00376CD5">
            <w:pPr>
              <w:spacing w:after="160"/>
              <w:contextualSpacing/>
              <w:rPr>
                <w:rFonts w:eastAsia="Calibri"/>
                <w:b w:val="0"/>
                <w:color w:val="auto"/>
              </w:rPr>
            </w:pPr>
            <w:r w:rsidRPr="00376CD5">
              <w:rPr>
                <w:rFonts w:eastAsia="Calibri"/>
                <w:b w:val="0"/>
                <w:color w:val="auto"/>
              </w:rPr>
              <w:t>Overall economy</w:t>
            </w:r>
          </w:p>
        </w:tc>
        <w:tc>
          <w:tcPr>
            <w:tcW w:w="1674" w:type="dxa"/>
            <w:tcBorders>
              <w:bottom w:val="single" w:sz="4" w:space="0" w:color="auto"/>
            </w:tcBorders>
          </w:tcPr>
          <w:p w:rsidR="00376CD5" w:rsidRPr="00376CD5" w:rsidRDefault="00376CD5" w:rsidP="0034018E">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+8</w:t>
            </w:r>
          </w:p>
        </w:tc>
        <w:tc>
          <w:tcPr>
            <w:tcW w:w="1791" w:type="dxa"/>
            <w:tcBorders>
              <w:bottom w:val="single" w:sz="4" w:space="0" w:color="auto"/>
            </w:tcBorders>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+2</w:t>
            </w:r>
          </w:p>
        </w:tc>
        <w:tc>
          <w:tcPr>
            <w:tcW w:w="2566" w:type="dxa"/>
            <w:gridSpan w:val="4"/>
            <w:tcBorders>
              <w:bottom w:val="single" w:sz="4" w:space="0" w:color="auto"/>
              <w:right w:val="single" w:sz="4" w:space="0" w:color="auto"/>
            </w:tcBorders>
          </w:tcPr>
          <w:p w:rsidR="00376CD5" w:rsidRPr="00376CD5" w:rsidRDefault="0034018E"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+6</w:t>
            </w:r>
          </w:p>
        </w:tc>
      </w:tr>
    </w:tbl>
    <w:p w:rsidR="00376CD5" w:rsidRPr="00376CD5" w:rsidRDefault="00376CD5" w:rsidP="00376CD5">
      <w:pPr>
        <w:spacing w:line="240" w:lineRule="auto"/>
        <w:contextualSpacing/>
        <w:rPr>
          <w:rFonts w:eastAsia="Calibri" w:cs="Times New Roman"/>
          <w:sz w:val="24"/>
          <w:szCs w:val="24"/>
        </w:rPr>
      </w:pPr>
    </w:p>
    <w:p w:rsidR="00376CD5" w:rsidRDefault="00376CD5">
      <w:pPr>
        <w:rPr>
          <w:rFonts w:eastAsia="Calibri" w:cs="Times New Roman"/>
          <w:b/>
          <w:sz w:val="24"/>
          <w:szCs w:val="24"/>
        </w:rPr>
      </w:pPr>
      <w:r>
        <w:rPr>
          <w:rFonts w:eastAsia="Calibri" w:cs="Times New Roman"/>
          <w:b/>
          <w:sz w:val="24"/>
          <w:szCs w:val="24"/>
        </w:rPr>
        <w:br w:type="page"/>
      </w:r>
    </w:p>
    <w:p w:rsidR="00C3732B" w:rsidRDefault="007030FD" w:rsidP="00C3732B">
      <w:pPr>
        <w:spacing w:after="0"/>
      </w:pPr>
      <w:r>
        <w:rPr>
          <w:rFonts w:eastAsia="Calibri" w:cs="Times New Roman"/>
          <w:szCs w:val="24"/>
        </w:rPr>
        <w:lastRenderedPageBreak/>
        <w:t xml:space="preserve">In addition, </w:t>
      </w:r>
      <w:r w:rsidR="00845A6D">
        <w:rPr>
          <w:rFonts w:eastAsia="Calibri" w:cs="Times New Roman"/>
          <w:szCs w:val="24"/>
        </w:rPr>
        <w:t>r</w:t>
      </w:r>
      <w:r w:rsidR="00C3732B" w:rsidRPr="00376CD5">
        <w:rPr>
          <w:rFonts w:eastAsia="Calibri" w:cs="Times New Roman"/>
          <w:szCs w:val="24"/>
        </w:rPr>
        <w:t>espondents</w:t>
      </w:r>
      <w:r w:rsidR="00C3732B">
        <w:rPr>
          <w:rFonts w:eastAsia="Calibri" w:cs="Times New Roman"/>
          <w:szCs w:val="24"/>
        </w:rPr>
        <w:t xml:space="preserve"> </w:t>
      </w:r>
      <w:r w:rsidR="00C3732B" w:rsidRPr="00376CD5">
        <w:rPr>
          <w:rFonts w:eastAsia="Calibri" w:cs="Times New Roman"/>
          <w:szCs w:val="24"/>
        </w:rPr>
        <w:t>still expect interest rates and inflation to increase over the next twelve months</w:t>
      </w:r>
      <w:r w:rsidR="00C3732B">
        <w:rPr>
          <w:rFonts w:eastAsia="Calibri" w:cs="Times New Roman"/>
          <w:szCs w:val="24"/>
        </w:rPr>
        <w:t>.</w:t>
      </w:r>
      <w:r w:rsidR="00C3732B" w:rsidRPr="00705083">
        <w:rPr>
          <w:rFonts w:ascii="Garamond" w:hAnsi="Garamond"/>
        </w:rPr>
        <w:t xml:space="preserve"> </w:t>
      </w:r>
      <w:r w:rsidR="00C3732B" w:rsidRPr="00705083">
        <w:t xml:space="preserve">Since </w:t>
      </w:r>
      <w:proofErr w:type="gramStart"/>
      <w:r w:rsidR="00C3732B" w:rsidRPr="00705083">
        <w:t>Fall</w:t>
      </w:r>
      <w:proofErr w:type="gramEnd"/>
      <w:r w:rsidR="00C3732B" w:rsidRPr="00705083">
        <w:t xml:space="preserve"> 2009, the majority of survey respondents report that they expect inflation to increase to some degree (either small or large). </w:t>
      </w:r>
      <w:r w:rsidR="00C3732B">
        <w:t>This is d</w:t>
      </w:r>
      <w:r w:rsidR="00C3732B" w:rsidRPr="00705083">
        <w:t xml:space="preserve">espite the fact that </w:t>
      </w:r>
      <w:r w:rsidR="00C3732B">
        <w:t>the current inflation rate is 1.6 percent, which is only a .1 percentage point increase since October 2013.</w:t>
      </w:r>
      <w:r w:rsidR="00C3732B" w:rsidRPr="00705083">
        <w:rPr>
          <w:rStyle w:val="FootnoteReference"/>
        </w:rPr>
        <w:footnoteReference w:id="7"/>
      </w:r>
      <w:r w:rsidR="00C3732B">
        <w:t xml:space="preserve">  </w:t>
      </w:r>
      <w:r w:rsidR="00C3732B" w:rsidRPr="00705083">
        <w:t xml:space="preserve"> </w:t>
      </w:r>
      <w:r w:rsidR="00C3732B" w:rsidRPr="00705083">
        <w:rPr>
          <w:rStyle w:val="FootnoteReference"/>
        </w:rPr>
        <w:t xml:space="preserve"> </w:t>
      </w:r>
    </w:p>
    <w:p w:rsidR="00C3732B" w:rsidRPr="00705083" w:rsidRDefault="00C3732B" w:rsidP="00C3732B">
      <w:pPr>
        <w:spacing w:after="0"/>
      </w:pPr>
    </w:p>
    <w:p w:rsidR="00376CD5" w:rsidRPr="00376CD5" w:rsidRDefault="00376CD5" w:rsidP="00376CD5">
      <w:pPr>
        <w:spacing w:line="240" w:lineRule="auto"/>
        <w:contextualSpacing/>
        <w:jc w:val="center"/>
        <w:rPr>
          <w:rFonts w:eastAsia="Calibri" w:cs="Times New Roman"/>
          <w:b/>
          <w:sz w:val="24"/>
          <w:szCs w:val="24"/>
        </w:rPr>
      </w:pPr>
      <w:r w:rsidRPr="00376CD5">
        <w:rPr>
          <w:rFonts w:eastAsia="Calibri" w:cs="Times New Roman"/>
          <w:b/>
          <w:sz w:val="24"/>
          <w:szCs w:val="24"/>
        </w:rPr>
        <w:t xml:space="preserve">Examining Expectations </w:t>
      </w:r>
      <w:r w:rsidR="00A9142E">
        <w:rPr>
          <w:rFonts w:eastAsia="Calibri" w:cs="Times New Roman"/>
          <w:b/>
          <w:sz w:val="24"/>
          <w:szCs w:val="24"/>
        </w:rPr>
        <w:t>for Economic</w:t>
      </w:r>
      <w:r w:rsidRPr="00376CD5">
        <w:rPr>
          <w:rFonts w:eastAsia="Calibri" w:cs="Times New Roman"/>
          <w:b/>
          <w:sz w:val="24"/>
          <w:szCs w:val="24"/>
        </w:rPr>
        <w:t xml:space="preserve"> Sector</w:t>
      </w:r>
      <w:r w:rsidR="00A9142E">
        <w:rPr>
          <w:rFonts w:eastAsia="Calibri" w:cs="Times New Roman"/>
          <w:b/>
          <w:sz w:val="24"/>
          <w:szCs w:val="24"/>
        </w:rPr>
        <w:t>s</w:t>
      </w:r>
    </w:p>
    <w:p w:rsidR="00376CD5" w:rsidRPr="00376CD5" w:rsidRDefault="00376CD5" w:rsidP="00376CD5">
      <w:pPr>
        <w:spacing w:line="240" w:lineRule="auto"/>
        <w:contextualSpacing/>
        <w:rPr>
          <w:rFonts w:eastAsia="Calibri" w:cs="Times New Roman"/>
          <w:b/>
          <w:sz w:val="24"/>
          <w:szCs w:val="24"/>
        </w:rPr>
      </w:pPr>
    </w:p>
    <w:p w:rsidR="00376CD5" w:rsidRPr="00376CD5" w:rsidRDefault="00376CD5" w:rsidP="00376CD5">
      <w:pPr>
        <w:spacing w:line="240" w:lineRule="auto"/>
        <w:contextualSpacing/>
        <w:rPr>
          <w:rFonts w:eastAsia="Calibri" w:cs="Times New Roman"/>
          <w:szCs w:val="24"/>
        </w:rPr>
      </w:pPr>
      <w:r w:rsidRPr="00376CD5">
        <w:rPr>
          <w:rFonts w:eastAsia="Calibri" w:cs="Times New Roman"/>
          <w:szCs w:val="24"/>
        </w:rPr>
        <w:t>In exami</w:t>
      </w:r>
      <w:r w:rsidR="00A9142E">
        <w:rPr>
          <w:rFonts w:eastAsia="Calibri" w:cs="Times New Roman"/>
          <w:szCs w:val="24"/>
        </w:rPr>
        <w:t>ning respondents’ expectations for each economic</w:t>
      </w:r>
      <w:r w:rsidRPr="00376CD5">
        <w:rPr>
          <w:rFonts w:eastAsia="Calibri" w:cs="Times New Roman"/>
          <w:szCs w:val="24"/>
        </w:rPr>
        <w:t xml:space="preserve"> sector, we find that respondents hold slightly different expectations for the forthcoming year. Still, for nearly all sectors, the Intensity Index Scores display positive expectations</w:t>
      </w:r>
      <w:r w:rsidR="00A91393">
        <w:rPr>
          <w:rFonts w:eastAsia="Calibri" w:cs="Times New Roman"/>
          <w:szCs w:val="24"/>
        </w:rPr>
        <w:t xml:space="preserve"> (see Table 4)</w:t>
      </w:r>
      <w:r w:rsidRPr="00376CD5">
        <w:rPr>
          <w:rFonts w:eastAsia="Calibri" w:cs="Times New Roman"/>
          <w:szCs w:val="24"/>
        </w:rPr>
        <w:t xml:space="preserve">. Once again, the medical/ health care sector is the most positively rated economic sector in Sangamon County with an </w:t>
      </w:r>
      <w:r w:rsidRPr="00376CD5">
        <w:rPr>
          <w:rFonts w:eastAsia="Calibri" w:cs="Times New Roman"/>
          <w:i/>
          <w:szCs w:val="24"/>
        </w:rPr>
        <w:t>IIS</w:t>
      </w:r>
      <w:r w:rsidRPr="00376CD5">
        <w:rPr>
          <w:rFonts w:eastAsia="Calibri" w:cs="Times New Roman"/>
          <w:szCs w:val="24"/>
        </w:rPr>
        <w:t xml:space="preserve"> of +</w:t>
      </w:r>
      <w:r w:rsidR="0034018E">
        <w:rPr>
          <w:rFonts w:eastAsia="Calibri" w:cs="Times New Roman"/>
          <w:szCs w:val="24"/>
        </w:rPr>
        <w:t>41</w:t>
      </w:r>
      <w:r w:rsidR="005935A5">
        <w:rPr>
          <w:rFonts w:eastAsia="Calibri" w:cs="Times New Roman"/>
          <w:szCs w:val="24"/>
        </w:rPr>
        <w:t xml:space="preserve">. This is a nine point increase from </w:t>
      </w:r>
      <w:proofErr w:type="gramStart"/>
      <w:r w:rsidR="005935A5">
        <w:rPr>
          <w:rFonts w:eastAsia="Calibri" w:cs="Times New Roman"/>
          <w:szCs w:val="24"/>
        </w:rPr>
        <w:t>Spring</w:t>
      </w:r>
      <w:proofErr w:type="gramEnd"/>
      <w:r w:rsidR="005935A5">
        <w:rPr>
          <w:rFonts w:eastAsia="Calibri" w:cs="Times New Roman"/>
          <w:szCs w:val="24"/>
        </w:rPr>
        <w:t xml:space="preserve"> 2014 and continues an upward trend in expectations regarding the medical/health care sector. T</w:t>
      </w:r>
      <w:r w:rsidRPr="00376CD5">
        <w:rPr>
          <w:rFonts w:eastAsia="Calibri" w:cs="Times New Roman"/>
          <w:szCs w:val="24"/>
        </w:rPr>
        <w:t xml:space="preserve">he least positively rated sectors are natural resources/ mining and manufacturing with respective </w:t>
      </w:r>
      <w:r w:rsidRPr="00376CD5">
        <w:rPr>
          <w:rFonts w:eastAsia="Calibri" w:cs="Times New Roman"/>
          <w:i/>
          <w:szCs w:val="24"/>
        </w:rPr>
        <w:t>IIS</w:t>
      </w:r>
      <w:r w:rsidRPr="00376CD5">
        <w:rPr>
          <w:rFonts w:eastAsia="Calibri" w:cs="Times New Roman"/>
          <w:szCs w:val="24"/>
        </w:rPr>
        <w:t xml:space="preserve"> </w:t>
      </w:r>
      <w:r w:rsidR="006611AC">
        <w:rPr>
          <w:rFonts w:eastAsia="Calibri" w:cs="Times New Roman"/>
          <w:szCs w:val="24"/>
        </w:rPr>
        <w:t xml:space="preserve">scores </w:t>
      </w:r>
      <w:r w:rsidRPr="00376CD5">
        <w:rPr>
          <w:rFonts w:eastAsia="Calibri" w:cs="Times New Roman"/>
          <w:szCs w:val="24"/>
        </w:rPr>
        <w:t>of -</w:t>
      </w:r>
      <w:r w:rsidR="0034018E">
        <w:rPr>
          <w:rFonts w:eastAsia="Calibri" w:cs="Times New Roman"/>
          <w:szCs w:val="24"/>
        </w:rPr>
        <w:t>14</w:t>
      </w:r>
      <w:r w:rsidRPr="00376CD5">
        <w:rPr>
          <w:rFonts w:eastAsia="Calibri" w:cs="Times New Roman"/>
          <w:szCs w:val="24"/>
        </w:rPr>
        <w:t xml:space="preserve"> and -10.  When compared to six months ago, respondents report lower expectations for nine of the fourteen listed economic sectors. Yet, respondents remain optimistic about their own firm’s sector</w:t>
      </w:r>
      <w:r w:rsidR="006C08D8">
        <w:rPr>
          <w:rFonts w:eastAsia="Calibri" w:cs="Times New Roman"/>
          <w:szCs w:val="24"/>
        </w:rPr>
        <w:t>, regardless of which sector they work in</w:t>
      </w:r>
      <w:r w:rsidRPr="00376CD5">
        <w:rPr>
          <w:rFonts w:eastAsia="Calibri" w:cs="Times New Roman"/>
          <w:szCs w:val="24"/>
        </w:rPr>
        <w:t>.</w:t>
      </w:r>
      <w:r w:rsidR="006C08D8">
        <w:rPr>
          <w:rFonts w:eastAsia="Calibri" w:cs="Times New Roman"/>
          <w:szCs w:val="24"/>
        </w:rPr>
        <w:t xml:space="preserve"> For example, while all respondents report negative expectations for the manufacturing sector, on average, those working in manufacturing still report positive expectations.</w:t>
      </w:r>
    </w:p>
    <w:p w:rsidR="00376CD5" w:rsidRPr="00376CD5" w:rsidRDefault="00376CD5" w:rsidP="00376CD5">
      <w:pPr>
        <w:spacing w:line="240" w:lineRule="auto"/>
        <w:contextualSpacing/>
        <w:rPr>
          <w:rFonts w:eastAsia="Calibri" w:cs="Times New Roman"/>
          <w:sz w:val="24"/>
          <w:szCs w:val="24"/>
        </w:rPr>
      </w:pPr>
    </w:p>
    <w:tbl>
      <w:tblPr>
        <w:tblStyle w:val="LightShading-Accent41"/>
        <w:tblW w:w="9576" w:type="dxa"/>
        <w:tblLook w:val="04A0" w:firstRow="1" w:lastRow="0" w:firstColumn="1" w:lastColumn="0" w:noHBand="0" w:noVBand="1"/>
      </w:tblPr>
      <w:tblGrid>
        <w:gridCol w:w="3890"/>
        <w:gridCol w:w="1682"/>
        <w:gridCol w:w="1646"/>
        <w:gridCol w:w="658"/>
        <w:gridCol w:w="1700"/>
      </w:tblGrid>
      <w:tr w:rsidR="00213DCD" w:rsidRPr="00376CD5" w:rsidTr="006611AC">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7876" w:type="dxa"/>
            <w:gridSpan w:val="4"/>
            <w:tcBorders>
              <w:top w:val="single" w:sz="4" w:space="0" w:color="auto"/>
              <w:left w:val="single" w:sz="4" w:space="0" w:color="auto"/>
            </w:tcBorders>
            <w:hideMark/>
          </w:tcPr>
          <w:p w:rsidR="00376CD5" w:rsidRPr="00376CD5" w:rsidRDefault="00376CD5" w:rsidP="00A91393">
            <w:pPr>
              <w:spacing w:after="160"/>
              <w:contextualSpacing/>
              <w:rPr>
                <w:rFonts w:eastAsia="Calibri"/>
                <w:color w:val="auto"/>
              </w:rPr>
            </w:pPr>
            <w:r w:rsidRPr="00376CD5">
              <w:rPr>
                <w:rFonts w:eastAsia="Calibri"/>
                <w:color w:val="auto"/>
              </w:rPr>
              <w:t xml:space="preserve">Table </w:t>
            </w:r>
            <w:r w:rsidR="00A91393">
              <w:rPr>
                <w:rFonts w:eastAsia="Calibri"/>
                <w:color w:val="auto"/>
              </w:rPr>
              <w:t>4</w:t>
            </w:r>
            <w:r w:rsidRPr="00376CD5">
              <w:rPr>
                <w:rFonts w:eastAsia="Calibri"/>
                <w:color w:val="auto"/>
              </w:rPr>
              <w:t>. Intensity Index Scores for specific economic sectors</w:t>
            </w:r>
          </w:p>
        </w:tc>
        <w:tc>
          <w:tcPr>
            <w:tcW w:w="1700" w:type="dxa"/>
            <w:tcBorders>
              <w:top w:val="single" w:sz="4" w:space="0" w:color="auto"/>
              <w:right w:val="single" w:sz="4" w:space="0" w:color="auto"/>
            </w:tcBorders>
            <w:noWrap/>
            <w:hideMark/>
          </w:tcPr>
          <w:p w:rsidR="00376CD5" w:rsidRPr="00376CD5" w:rsidRDefault="00376CD5" w:rsidP="00376CD5">
            <w:pPr>
              <w:spacing w:after="160"/>
              <w:contextualSpacing/>
              <w:cnfStyle w:val="100000000000" w:firstRow="1" w:lastRow="0" w:firstColumn="0" w:lastColumn="0" w:oddVBand="0" w:evenVBand="0" w:oddHBand="0" w:evenHBand="0" w:firstRowFirstColumn="0" w:firstRowLastColumn="0" w:lastRowFirstColumn="0" w:lastRowLastColumn="0"/>
              <w:rPr>
                <w:rFonts w:eastAsia="Calibri"/>
                <w:color w:val="auto"/>
                <w:szCs w:val="20"/>
              </w:rPr>
            </w:pPr>
          </w:p>
        </w:tc>
      </w:tr>
      <w:tr w:rsidR="00213DCD" w:rsidRPr="00213DCD" w:rsidTr="006611AC">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3890" w:type="dxa"/>
            <w:vMerge w:val="restart"/>
            <w:tcBorders>
              <w:left w:val="single" w:sz="4" w:space="0" w:color="auto"/>
            </w:tcBorders>
            <w:shd w:val="clear" w:color="auto" w:fill="DDCAFA"/>
            <w:noWrap/>
            <w:hideMark/>
          </w:tcPr>
          <w:p w:rsidR="00376CD5" w:rsidRPr="00376CD5" w:rsidRDefault="00376CD5" w:rsidP="00376CD5">
            <w:pPr>
              <w:spacing w:after="160"/>
              <w:contextualSpacing/>
              <w:rPr>
                <w:rFonts w:eastAsia="Calibri"/>
                <w:b w:val="0"/>
                <w:color w:val="auto"/>
                <w:szCs w:val="20"/>
              </w:rPr>
            </w:pPr>
          </w:p>
        </w:tc>
        <w:tc>
          <w:tcPr>
            <w:tcW w:w="1682" w:type="dxa"/>
            <w:vMerge w:val="restart"/>
            <w:shd w:val="clear" w:color="auto" w:fill="DDCAFA"/>
            <w:hideMark/>
          </w:tcPr>
          <w:p w:rsidR="00376CD5" w:rsidRPr="00376CD5" w:rsidRDefault="00213DCD"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b/>
                <w:color w:val="auto"/>
              </w:rPr>
            </w:pPr>
            <w:r>
              <w:rPr>
                <w:rFonts w:eastAsia="Calibri"/>
                <w:b/>
                <w:color w:val="auto"/>
              </w:rPr>
              <w:t>Fall</w:t>
            </w:r>
            <w:r w:rsidR="00376CD5" w:rsidRPr="00376CD5">
              <w:rPr>
                <w:rFonts w:eastAsia="Calibri"/>
                <w:b/>
                <w:color w:val="auto"/>
              </w:rPr>
              <w:t xml:space="preserve"> 2014 </w:t>
            </w:r>
            <w:r w:rsidR="00376CD5" w:rsidRPr="00376CD5">
              <w:rPr>
                <w:rFonts w:eastAsia="Calibri"/>
                <w:b/>
                <w:i/>
                <w:color w:val="auto"/>
              </w:rPr>
              <w:t>IIS</w:t>
            </w:r>
          </w:p>
        </w:tc>
        <w:tc>
          <w:tcPr>
            <w:tcW w:w="1646" w:type="dxa"/>
            <w:vMerge w:val="restart"/>
            <w:shd w:val="clear" w:color="auto" w:fill="DDCAFA"/>
            <w:hideMark/>
          </w:tcPr>
          <w:p w:rsidR="00376CD5" w:rsidRPr="00376CD5" w:rsidRDefault="006611AC"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b/>
                <w:color w:val="auto"/>
              </w:rPr>
            </w:pPr>
            <w:r>
              <w:rPr>
                <w:rFonts w:eastAsia="Calibri"/>
                <w:b/>
                <w:color w:val="auto"/>
              </w:rPr>
              <w:t>Spring</w:t>
            </w:r>
            <w:r w:rsidR="00376CD5" w:rsidRPr="00376CD5">
              <w:rPr>
                <w:rFonts w:eastAsia="Calibri"/>
                <w:b/>
                <w:color w:val="auto"/>
              </w:rPr>
              <w:t xml:space="preserve"> 2014 </w:t>
            </w:r>
            <w:r w:rsidR="00376CD5" w:rsidRPr="00376CD5">
              <w:rPr>
                <w:rFonts w:eastAsia="Calibri"/>
                <w:b/>
                <w:i/>
                <w:color w:val="auto"/>
              </w:rPr>
              <w:t>IIS</w:t>
            </w:r>
          </w:p>
        </w:tc>
        <w:tc>
          <w:tcPr>
            <w:tcW w:w="2358" w:type="dxa"/>
            <w:gridSpan w:val="2"/>
            <w:vMerge w:val="restart"/>
            <w:tcBorders>
              <w:right w:val="single" w:sz="4" w:space="0" w:color="auto"/>
            </w:tcBorders>
            <w:shd w:val="clear" w:color="auto" w:fill="DDCAFA"/>
            <w:hideMark/>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b/>
                <w:color w:val="auto"/>
              </w:rPr>
            </w:pPr>
            <w:r w:rsidRPr="00376CD5">
              <w:rPr>
                <w:rFonts w:eastAsia="Calibri"/>
                <w:b/>
                <w:color w:val="auto"/>
              </w:rPr>
              <w:t>Difference</w:t>
            </w:r>
          </w:p>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b/>
                <w:color w:val="auto"/>
              </w:rPr>
            </w:pPr>
            <w:r w:rsidRPr="00376CD5">
              <w:rPr>
                <w:rFonts w:eastAsia="Calibri"/>
                <w:b/>
                <w:color w:val="auto"/>
              </w:rPr>
              <w:t>(Fall 2014- Spring 2014)</w:t>
            </w:r>
          </w:p>
        </w:tc>
      </w:tr>
      <w:tr w:rsidR="00213DCD" w:rsidRPr="00376CD5" w:rsidTr="006611AC">
        <w:trPr>
          <w:trHeight w:val="293"/>
        </w:trPr>
        <w:tc>
          <w:tcPr>
            <w:cnfStyle w:val="001000000000" w:firstRow="0" w:lastRow="0" w:firstColumn="1" w:lastColumn="0" w:oddVBand="0" w:evenVBand="0" w:oddHBand="0" w:evenHBand="0" w:firstRowFirstColumn="0" w:firstRowLastColumn="0" w:lastRowFirstColumn="0" w:lastRowLastColumn="0"/>
            <w:tcW w:w="3890" w:type="dxa"/>
            <w:vMerge/>
            <w:tcBorders>
              <w:left w:val="single" w:sz="4" w:space="0" w:color="auto"/>
            </w:tcBorders>
            <w:shd w:val="clear" w:color="auto" w:fill="DDCAFA"/>
            <w:hideMark/>
          </w:tcPr>
          <w:p w:rsidR="00376CD5" w:rsidRPr="00376CD5" w:rsidRDefault="00376CD5" w:rsidP="00376CD5">
            <w:pPr>
              <w:spacing w:after="160"/>
              <w:contextualSpacing/>
              <w:rPr>
                <w:rFonts w:eastAsia="Calibri"/>
                <w:b w:val="0"/>
                <w:color w:val="auto"/>
                <w:szCs w:val="20"/>
              </w:rPr>
            </w:pPr>
          </w:p>
        </w:tc>
        <w:tc>
          <w:tcPr>
            <w:tcW w:w="1682" w:type="dxa"/>
            <w:vMerge/>
            <w:shd w:val="clear" w:color="auto" w:fill="DDCAFA"/>
            <w:hideMark/>
          </w:tcPr>
          <w:p w:rsidR="00376CD5" w:rsidRPr="00376CD5" w:rsidRDefault="00376CD5" w:rsidP="00376CD5">
            <w:pPr>
              <w:spacing w:after="160"/>
              <w:contextualSpacing/>
              <w:cnfStyle w:val="000000000000" w:firstRow="0" w:lastRow="0" w:firstColumn="0" w:lastColumn="0" w:oddVBand="0" w:evenVBand="0" w:oddHBand="0" w:evenHBand="0" w:firstRowFirstColumn="0" w:firstRowLastColumn="0" w:lastRowFirstColumn="0" w:lastRowLastColumn="0"/>
              <w:rPr>
                <w:rFonts w:eastAsia="Calibri"/>
                <w:color w:val="auto"/>
              </w:rPr>
            </w:pPr>
          </w:p>
        </w:tc>
        <w:tc>
          <w:tcPr>
            <w:tcW w:w="1646" w:type="dxa"/>
            <w:vMerge/>
            <w:shd w:val="clear" w:color="auto" w:fill="DDCAFA"/>
            <w:hideMark/>
          </w:tcPr>
          <w:p w:rsidR="00376CD5" w:rsidRPr="00376CD5" w:rsidRDefault="00376CD5" w:rsidP="00376CD5">
            <w:pPr>
              <w:spacing w:after="160"/>
              <w:contextualSpacing/>
              <w:cnfStyle w:val="000000000000" w:firstRow="0" w:lastRow="0" w:firstColumn="0" w:lastColumn="0" w:oddVBand="0" w:evenVBand="0" w:oddHBand="0" w:evenHBand="0" w:firstRowFirstColumn="0" w:firstRowLastColumn="0" w:lastRowFirstColumn="0" w:lastRowLastColumn="0"/>
              <w:rPr>
                <w:rFonts w:eastAsia="Calibri"/>
                <w:color w:val="auto"/>
              </w:rPr>
            </w:pPr>
          </w:p>
        </w:tc>
        <w:tc>
          <w:tcPr>
            <w:tcW w:w="2358" w:type="dxa"/>
            <w:gridSpan w:val="2"/>
            <w:vMerge/>
            <w:tcBorders>
              <w:right w:val="single" w:sz="4" w:space="0" w:color="auto"/>
            </w:tcBorders>
            <w:shd w:val="clear" w:color="auto" w:fill="DDCAFA"/>
            <w:hideMark/>
          </w:tcPr>
          <w:p w:rsidR="00376CD5" w:rsidRPr="00376CD5" w:rsidRDefault="00376CD5" w:rsidP="00376CD5">
            <w:pPr>
              <w:spacing w:after="160"/>
              <w:contextualSpacing/>
              <w:cnfStyle w:val="000000000000" w:firstRow="0" w:lastRow="0" w:firstColumn="0" w:lastColumn="0" w:oddVBand="0" w:evenVBand="0" w:oddHBand="0" w:evenHBand="0" w:firstRowFirstColumn="0" w:firstRowLastColumn="0" w:lastRowFirstColumn="0" w:lastRowLastColumn="0"/>
              <w:rPr>
                <w:rFonts w:eastAsia="Calibri"/>
                <w:color w:val="auto"/>
              </w:rPr>
            </w:pPr>
          </w:p>
        </w:tc>
      </w:tr>
      <w:tr w:rsidR="00213DCD" w:rsidRPr="00376CD5" w:rsidTr="006611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90" w:type="dxa"/>
            <w:tcBorders>
              <w:left w:val="single" w:sz="4" w:space="0" w:color="auto"/>
            </w:tcBorders>
            <w:shd w:val="clear" w:color="auto" w:fill="auto"/>
            <w:noWrap/>
            <w:hideMark/>
          </w:tcPr>
          <w:p w:rsidR="00376CD5" w:rsidRPr="00376CD5" w:rsidRDefault="00376CD5" w:rsidP="00376CD5">
            <w:pPr>
              <w:spacing w:after="160"/>
              <w:contextualSpacing/>
              <w:rPr>
                <w:rFonts w:eastAsia="Calibri"/>
                <w:b w:val="0"/>
                <w:color w:val="auto"/>
              </w:rPr>
            </w:pPr>
            <w:r w:rsidRPr="00376CD5">
              <w:rPr>
                <w:rFonts w:eastAsia="Calibri"/>
                <w:b w:val="0"/>
                <w:color w:val="auto"/>
              </w:rPr>
              <w:t>Own firm's sector</w:t>
            </w:r>
          </w:p>
        </w:tc>
        <w:tc>
          <w:tcPr>
            <w:tcW w:w="1682" w:type="dxa"/>
            <w:shd w:val="clear" w:color="auto" w:fill="auto"/>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+11</w:t>
            </w:r>
          </w:p>
        </w:tc>
        <w:tc>
          <w:tcPr>
            <w:tcW w:w="1646" w:type="dxa"/>
            <w:shd w:val="clear" w:color="auto" w:fill="auto"/>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+9</w:t>
            </w:r>
          </w:p>
        </w:tc>
        <w:tc>
          <w:tcPr>
            <w:tcW w:w="2358" w:type="dxa"/>
            <w:gridSpan w:val="2"/>
            <w:tcBorders>
              <w:right w:val="single" w:sz="4" w:space="0" w:color="auto"/>
            </w:tcBorders>
            <w:shd w:val="clear" w:color="auto" w:fill="auto"/>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+2</w:t>
            </w:r>
          </w:p>
        </w:tc>
      </w:tr>
      <w:tr w:rsidR="00213DCD" w:rsidRPr="00376CD5" w:rsidTr="006611AC">
        <w:trPr>
          <w:trHeight w:val="315"/>
        </w:trPr>
        <w:tc>
          <w:tcPr>
            <w:cnfStyle w:val="001000000000" w:firstRow="0" w:lastRow="0" w:firstColumn="1" w:lastColumn="0" w:oddVBand="0" w:evenVBand="0" w:oddHBand="0" w:evenHBand="0" w:firstRowFirstColumn="0" w:firstRowLastColumn="0" w:lastRowFirstColumn="0" w:lastRowLastColumn="0"/>
            <w:tcW w:w="3890" w:type="dxa"/>
            <w:tcBorders>
              <w:left w:val="single" w:sz="4" w:space="0" w:color="auto"/>
            </w:tcBorders>
            <w:shd w:val="clear" w:color="auto" w:fill="DDCAFA"/>
            <w:noWrap/>
            <w:hideMark/>
          </w:tcPr>
          <w:p w:rsidR="00376CD5" w:rsidRPr="00376CD5" w:rsidRDefault="00376CD5" w:rsidP="00376CD5">
            <w:pPr>
              <w:spacing w:after="160"/>
              <w:contextualSpacing/>
              <w:rPr>
                <w:rFonts w:eastAsia="Calibri"/>
                <w:b w:val="0"/>
                <w:color w:val="auto"/>
              </w:rPr>
            </w:pPr>
            <w:r w:rsidRPr="00376CD5">
              <w:rPr>
                <w:rFonts w:eastAsia="Calibri"/>
                <w:b w:val="0"/>
                <w:color w:val="auto"/>
              </w:rPr>
              <w:t>Construction</w:t>
            </w:r>
          </w:p>
        </w:tc>
        <w:tc>
          <w:tcPr>
            <w:tcW w:w="1682" w:type="dxa"/>
            <w:shd w:val="clear" w:color="auto" w:fill="DDCAFA"/>
            <w:noWrap/>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+19</w:t>
            </w:r>
          </w:p>
        </w:tc>
        <w:tc>
          <w:tcPr>
            <w:tcW w:w="1646" w:type="dxa"/>
            <w:shd w:val="clear" w:color="auto" w:fill="DDCAFA"/>
            <w:noWrap/>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+16</w:t>
            </w:r>
          </w:p>
        </w:tc>
        <w:tc>
          <w:tcPr>
            <w:tcW w:w="2358" w:type="dxa"/>
            <w:gridSpan w:val="2"/>
            <w:tcBorders>
              <w:right w:val="single" w:sz="4" w:space="0" w:color="auto"/>
            </w:tcBorders>
            <w:shd w:val="clear" w:color="auto" w:fill="DDCAFA"/>
            <w:noWrap/>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+3</w:t>
            </w:r>
          </w:p>
        </w:tc>
      </w:tr>
      <w:tr w:rsidR="00213DCD" w:rsidRPr="00376CD5" w:rsidTr="006611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90" w:type="dxa"/>
            <w:tcBorders>
              <w:left w:val="single" w:sz="4" w:space="0" w:color="auto"/>
            </w:tcBorders>
            <w:shd w:val="clear" w:color="auto" w:fill="auto"/>
            <w:noWrap/>
            <w:hideMark/>
          </w:tcPr>
          <w:p w:rsidR="00376CD5" w:rsidRPr="00376CD5" w:rsidRDefault="00376CD5" w:rsidP="00376CD5">
            <w:pPr>
              <w:spacing w:after="160"/>
              <w:contextualSpacing/>
              <w:rPr>
                <w:rFonts w:eastAsia="Calibri"/>
                <w:b w:val="0"/>
                <w:color w:val="auto"/>
              </w:rPr>
            </w:pPr>
            <w:r w:rsidRPr="00376CD5">
              <w:rPr>
                <w:rFonts w:eastAsia="Calibri"/>
                <w:b w:val="0"/>
                <w:color w:val="auto"/>
              </w:rPr>
              <w:t>Manufacturing</w:t>
            </w:r>
          </w:p>
        </w:tc>
        <w:tc>
          <w:tcPr>
            <w:tcW w:w="1682" w:type="dxa"/>
            <w:shd w:val="clear" w:color="auto" w:fill="auto"/>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-10</w:t>
            </w:r>
          </w:p>
        </w:tc>
        <w:tc>
          <w:tcPr>
            <w:tcW w:w="1646" w:type="dxa"/>
            <w:shd w:val="clear" w:color="auto" w:fill="auto"/>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-1</w:t>
            </w:r>
          </w:p>
        </w:tc>
        <w:tc>
          <w:tcPr>
            <w:tcW w:w="2358" w:type="dxa"/>
            <w:gridSpan w:val="2"/>
            <w:tcBorders>
              <w:right w:val="single" w:sz="4" w:space="0" w:color="auto"/>
            </w:tcBorders>
            <w:shd w:val="clear" w:color="auto" w:fill="auto"/>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-9</w:t>
            </w:r>
          </w:p>
        </w:tc>
      </w:tr>
      <w:tr w:rsidR="00213DCD" w:rsidRPr="00376CD5" w:rsidTr="006611AC">
        <w:trPr>
          <w:trHeight w:val="315"/>
        </w:trPr>
        <w:tc>
          <w:tcPr>
            <w:cnfStyle w:val="001000000000" w:firstRow="0" w:lastRow="0" w:firstColumn="1" w:lastColumn="0" w:oddVBand="0" w:evenVBand="0" w:oddHBand="0" w:evenHBand="0" w:firstRowFirstColumn="0" w:firstRowLastColumn="0" w:lastRowFirstColumn="0" w:lastRowLastColumn="0"/>
            <w:tcW w:w="3890" w:type="dxa"/>
            <w:tcBorders>
              <w:left w:val="single" w:sz="4" w:space="0" w:color="auto"/>
            </w:tcBorders>
            <w:shd w:val="clear" w:color="auto" w:fill="DDCAFA"/>
            <w:noWrap/>
            <w:hideMark/>
          </w:tcPr>
          <w:p w:rsidR="00376CD5" w:rsidRPr="00376CD5" w:rsidRDefault="00376CD5" w:rsidP="00376CD5">
            <w:pPr>
              <w:spacing w:after="160"/>
              <w:contextualSpacing/>
              <w:rPr>
                <w:rFonts w:eastAsia="Calibri"/>
                <w:b w:val="0"/>
                <w:color w:val="auto"/>
              </w:rPr>
            </w:pPr>
            <w:r w:rsidRPr="00376CD5">
              <w:rPr>
                <w:rFonts w:eastAsia="Calibri"/>
                <w:b w:val="0"/>
                <w:color w:val="auto"/>
              </w:rPr>
              <w:t>Wholesale trade</w:t>
            </w:r>
          </w:p>
        </w:tc>
        <w:tc>
          <w:tcPr>
            <w:tcW w:w="1682" w:type="dxa"/>
            <w:shd w:val="clear" w:color="auto" w:fill="DDCAFA"/>
            <w:noWrap/>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+5</w:t>
            </w:r>
          </w:p>
        </w:tc>
        <w:tc>
          <w:tcPr>
            <w:tcW w:w="1646" w:type="dxa"/>
            <w:shd w:val="clear" w:color="auto" w:fill="DDCAFA"/>
            <w:noWrap/>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+6</w:t>
            </w:r>
          </w:p>
        </w:tc>
        <w:tc>
          <w:tcPr>
            <w:tcW w:w="2358" w:type="dxa"/>
            <w:gridSpan w:val="2"/>
            <w:tcBorders>
              <w:right w:val="single" w:sz="4" w:space="0" w:color="auto"/>
            </w:tcBorders>
            <w:shd w:val="clear" w:color="auto" w:fill="DDCAFA"/>
            <w:noWrap/>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-1</w:t>
            </w:r>
          </w:p>
        </w:tc>
      </w:tr>
      <w:tr w:rsidR="00213DCD" w:rsidRPr="00376CD5" w:rsidTr="006611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90" w:type="dxa"/>
            <w:tcBorders>
              <w:left w:val="single" w:sz="4" w:space="0" w:color="auto"/>
            </w:tcBorders>
            <w:shd w:val="clear" w:color="auto" w:fill="auto"/>
            <w:noWrap/>
            <w:hideMark/>
          </w:tcPr>
          <w:p w:rsidR="00376CD5" w:rsidRPr="00376CD5" w:rsidRDefault="00376CD5" w:rsidP="00376CD5">
            <w:pPr>
              <w:spacing w:after="160"/>
              <w:contextualSpacing/>
              <w:rPr>
                <w:rFonts w:eastAsia="Calibri"/>
                <w:b w:val="0"/>
                <w:color w:val="auto"/>
              </w:rPr>
            </w:pPr>
            <w:r w:rsidRPr="00376CD5">
              <w:rPr>
                <w:rFonts w:eastAsia="Calibri"/>
                <w:b w:val="0"/>
                <w:color w:val="auto"/>
              </w:rPr>
              <w:t>Retail trade</w:t>
            </w:r>
          </w:p>
        </w:tc>
        <w:tc>
          <w:tcPr>
            <w:tcW w:w="1682" w:type="dxa"/>
            <w:shd w:val="clear" w:color="auto" w:fill="auto"/>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+8</w:t>
            </w:r>
          </w:p>
        </w:tc>
        <w:tc>
          <w:tcPr>
            <w:tcW w:w="1646" w:type="dxa"/>
            <w:shd w:val="clear" w:color="auto" w:fill="auto"/>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+13</w:t>
            </w:r>
          </w:p>
        </w:tc>
        <w:tc>
          <w:tcPr>
            <w:tcW w:w="2358" w:type="dxa"/>
            <w:gridSpan w:val="2"/>
            <w:tcBorders>
              <w:right w:val="single" w:sz="4" w:space="0" w:color="auto"/>
            </w:tcBorders>
            <w:shd w:val="clear" w:color="auto" w:fill="auto"/>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-5</w:t>
            </w:r>
          </w:p>
        </w:tc>
      </w:tr>
      <w:tr w:rsidR="00213DCD" w:rsidRPr="00376CD5" w:rsidTr="006611AC">
        <w:trPr>
          <w:trHeight w:val="315"/>
        </w:trPr>
        <w:tc>
          <w:tcPr>
            <w:cnfStyle w:val="001000000000" w:firstRow="0" w:lastRow="0" w:firstColumn="1" w:lastColumn="0" w:oddVBand="0" w:evenVBand="0" w:oddHBand="0" w:evenHBand="0" w:firstRowFirstColumn="0" w:firstRowLastColumn="0" w:lastRowFirstColumn="0" w:lastRowLastColumn="0"/>
            <w:tcW w:w="3890" w:type="dxa"/>
            <w:tcBorders>
              <w:left w:val="single" w:sz="4" w:space="0" w:color="auto"/>
            </w:tcBorders>
            <w:shd w:val="clear" w:color="auto" w:fill="DDCAFA"/>
            <w:noWrap/>
            <w:hideMark/>
          </w:tcPr>
          <w:p w:rsidR="00376CD5" w:rsidRPr="00376CD5" w:rsidRDefault="00376CD5" w:rsidP="00376CD5">
            <w:pPr>
              <w:spacing w:after="160"/>
              <w:contextualSpacing/>
              <w:rPr>
                <w:rFonts w:eastAsia="Calibri"/>
                <w:b w:val="0"/>
                <w:color w:val="auto"/>
              </w:rPr>
            </w:pPr>
            <w:r w:rsidRPr="00376CD5">
              <w:rPr>
                <w:rFonts w:eastAsia="Calibri"/>
                <w:b w:val="0"/>
                <w:color w:val="auto"/>
              </w:rPr>
              <w:t>Transportation/</w:t>
            </w:r>
            <w:r w:rsidR="00845A6D">
              <w:rPr>
                <w:rFonts w:eastAsia="Calibri"/>
                <w:b w:val="0"/>
                <w:color w:val="auto"/>
              </w:rPr>
              <w:t xml:space="preserve"> </w:t>
            </w:r>
            <w:r w:rsidRPr="00376CD5">
              <w:rPr>
                <w:rFonts w:eastAsia="Calibri"/>
                <w:b w:val="0"/>
                <w:color w:val="auto"/>
              </w:rPr>
              <w:t>warehousing</w:t>
            </w:r>
          </w:p>
        </w:tc>
        <w:tc>
          <w:tcPr>
            <w:tcW w:w="1682" w:type="dxa"/>
            <w:shd w:val="clear" w:color="auto" w:fill="DDCAFA"/>
            <w:noWrap/>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+4</w:t>
            </w:r>
          </w:p>
        </w:tc>
        <w:tc>
          <w:tcPr>
            <w:tcW w:w="1646" w:type="dxa"/>
            <w:shd w:val="clear" w:color="auto" w:fill="DDCAFA"/>
            <w:noWrap/>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+10</w:t>
            </w:r>
          </w:p>
        </w:tc>
        <w:tc>
          <w:tcPr>
            <w:tcW w:w="2358" w:type="dxa"/>
            <w:gridSpan w:val="2"/>
            <w:tcBorders>
              <w:right w:val="single" w:sz="4" w:space="0" w:color="auto"/>
            </w:tcBorders>
            <w:shd w:val="clear" w:color="auto" w:fill="DDCAFA"/>
            <w:noWrap/>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-6</w:t>
            </w:r>
          </w:p>
        </w:tc>
      </w:tr>
      <w:tr w:rsidR="00213DCD" w:rsidRPr="00376CD5" w:rsidTr="006611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90" w:type="dxa"/>
            <w:tcBorders>
              <w:left w:val="single" w:sz="4" w:space="0" w:color="auto"/>
            </w:tcBorders>
            <w:shd w:val="clear" w:color="auto" w:fill="auto"/>
            <w:noWrap/>
            <w:hideMark/>
          </w:tcPr>
          <w:p w:rsidR="00376CD5" w:rsidRPr="00376CD5" w:rsidRDefault="00376CD5" w:rsidP="00376CD5">
            <w:pPr>
              <w:spacing w:after="160"/>
              <w:contextualSpacing/>
              <w:rPr>
                <w:rFonts w:eastAsia="Calibri"/>
                <w:b w:val="0"/>
                <w:color w:val="auto"/>
              </w:rPr>
            </w:pPr>
            <w:r w:rsidRPr="00376CD5">
              <w:rPr>
                <w:rFonts w:eastAsia="Calibri"/>
                <w:b w:val="0"/>
                <w:color w:val="auto"/>
              </w:rPr>
              <w:t>Finance/</w:t>
            </w:r>
            <w:r w:rsidR="00845A6D">
              <w:rPr>
                <w:rFonts w:eastAsia="Calibri"/>
                <w:b w:val="0"/>
                <w:color w:val="auto"/>
              </w:rPr>
              <w:t xml:space="preserve"> </w:t>
            </w:r>
            <w:r w:rsidRPr="00376CD5">
              <w:rPr>
                <w:rFonts w:eastAsia="Calibri"/>
                <w:b w:val="0"/>
                <w:color w:val="auto"/>
              </w:rPr>
              <w:t>insurance/</w:t>
            </w:r>
            <w:r w:rsidR="00845A6D">
              <w:rPr>
                <w:rFonts w:eastAsia="Calibri"/>
                <w:b w:val="0"/>
                <w:color w:val="auto"/>
              </w:rPr>
              <w:t xml:space="preserve"> </w:t>
            </w:r>
            <w:r w:rsidRPr="00376CD5">
              <w:rPr>
                <w:rFonts w:eastAsia="Calibri"/>
                <w:b w:val="0"/>
                <w:color w:val="auto"/>
              </w:rPr>
              <w:t>real estate</w:t>
            </w:r>
          </w:p>
        </w:tc>
        <w:tc>
          <w:tcPr>
            <w:tcW w:w="1682" w:type="dxa"/>
            <w:shd w:val="clear" w:color="auto" w:fill="auto"/>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+18</w:t>
            </w:r>
          </w:p>
        </w:tc>
        <w:tc>
          <w:tcPr>
            <w:tcW w:w="1646" w:type="dxa"/>
            <w:shd w:val="clear" w:color="auto" w:fill="auto"/>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+19</w:t>
            </w:r>
          </w:p>
        </w:tc>
        <w:tc>
          <w:tcPr>
            <w:tcW w:w="2358" w:type="dxa"/>
            <w:gridSpan w:val="2"/>
            <w:tcBorders>
              <w:right w:val="single" w:sz="4" w:space="0" w:color="auto"/>
            </w:tcBorders>
            <w:shd w:val="clear" w:color="auto" w:fill="auto"/>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-1</w:t>
            </w:r>
          </w:p>
        </w:tc>
      </w:tr>
      <w:tr w:rsidR="00213DCD" w:rsidRPr="00376CD5" w:rsidTr="006611AC">
        <w:trPr>
          <w:trHeight w:val="315"/>
        </w:trPr>
        <w:tc>
          <w:tcPr>
            <w:cnfStyle w:val="001000000000" w:firstRow="0" w:lastRow="0" w:firstColumn="1" w:lastColumn="0" w:oddVBand="0" w:evenVBand="0" w:oddHBand="0" w:evenHBand="0" w:firstRowFirstColumn="0" w:firstRowLastColumn="0" w:lastRowFirstColumn="0" w:lastRowLastColumn="0"/>
            <w:tcW w:w="3890" w:type="dxa"/>
            <w:tcBorders>
              <w:left w:val="single" w:sz="4" w:space="0" w:color="auto"/>
            </w:tcBorders>
            <w:shd w:val="clear" w:color="auto" w:fill="DDCAFA"/>
            <w:noWrap/>
            <w:hideMark/>
          </w:tcPr>
          <w:p w:rsidR="00376CD5" w:rsidRPr="00376CD5" w:rsidRDefault="00376CD5" w:rsidP="00376CD5">
            <w:pPr>
              <w:spacing w:after="160"/>
              <w:contextualSpacing/>
              <w:rPr>
                <w:rFonts w:eastAsia="Calibri"/>
                <w:b w:val="0"/>
                <w:color w:val="auto"/>
              </w:rPr>
            </w:pPr>
            <w:r w:rsidRPr="00376CD5">
              <w:rPr>
                <w:rFonts w:eastAsia="Calibri"/>
                <w:b w:val="0"/>
                <w:color w:val="auto"/>
              </w:rPr>
              <w:t>Medical/</w:t>
            </w:r>
            <w:r w:rsidR="00845A6D">
              <w:rPr>
                <w:rFonts w:eastAsia="Calibri"/>
                <w:b w:val="0"/>
                <w:color w:val="auto"/>
              </w:rPr>
              <w:t xml:space="preserve"> </w:t>
            </w:r>
            <w:r w:rsidRPr="00376CD5">
              <w:rPr>
                <w:rFonts w:eastAsia="Calibri"/>
                <w:b w:val="0"/>
                <w:color w:val="auto"/>
              </w:rPr>
              <w:t>health care</w:t>
            </w:r>
          </w:p>
        </w:tc>
        <w:tc>
          <w:tcPr>
            <w:tcW w:w="1682" w:type="dxa"/>
            <w:shd w:val="clear" w:color="auto" w:fill="DDCAFA"/>
            <w:noWrap/>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+41</w:t>
            </w:r>
          </w:p>
        </w:tc>
        <w:tc>
          <w:tcPr>
            <w:tcW w:w="1646" w:type="dxa"/>
            <w:shd w:val="clear" w:color="auto" w:fill="DDCAFA"/>
            <w:noWrap/>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+32</w:t>
            </w:r>
          </w:p>
        </w:tc>
        <w:tc>
          <w:tcPr>
            <w:tcW w:w="2358" w:type="dxa"/>
            <w:gridSpan w:val="2"/>
            <w:tcBorders>
              <w:right w:val="single" w:sz="4" w:space="0" w:color="auto"/>
            </w:tcBorders>
            <w:shd w:val="clear" w:color="auto" w:fill="DDCAFA"/>
            <w:noWrap/>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+9</w:t>
            </w:r>
          </w:p>
        </w:tc>
      </w:tr>
      <w:tr w:rsidR="00213DCD" w:rsidRPr="00376CD5" w:rsidTr="006611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90" w:type="dxa"/>
            <w:tcBorders>
              <w:left w:val="single" w:sz="4" w:space="0" w:color="auto"/>
            </w:tcBorders>
            <w:shd w:val="clear" w:color="auto" w:fill="auto"/>
            <w:noWrap/>
            <w:hideMark/>
          </w:tcPr>
          <w:p w:rsidR="00376CD5" w:rsidRPr="00376CD5" w:rsidRDefault="00376CD5" w:rsidP="00376CD5">
            <w:pPr>
              <w:spacing w:after="160"/>
              <w:contextualSpacing/>
              <w:rPr>
                <w:rFonts w:eastAsia="Calibri"/>
                <w:b w:val="0"/>
                <w:color w:val="auto"/>
              </w:rPr>
            </w:pPr>
            <w:r w:rsidRPr="00376CD5">
              <w:rPr>
                <w:rFonts w:eastAsia="Calibri"/>
                <w:b w:val="0"/>
                <w:color w:val="auto"/>
              </w:rPr>
              <w:t>Education/ educational services</w:t>
            </w:r>
          </w:p>
        </w:tc>
        <w:tc>
          <w:tcPr>
            <w:tcW w:w="1682" w:type="dxa"/>
            <w:shd w:val="clear" w:color="auto" w:fill="auto"/>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+6</w:t>
            </w:r>
          </w:p>
        </w:tc>
        <w:tc>
          <w:tcPr>
            <w:tcW w:w="1646" w:type="dxa"/>
            <w:shd w:val="clear" w:color="auto" w:fill="auto"/>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+3</w:t>
            </w:r>
          </w:p>
        </w:tc>
        <w:tc>
          <w:tcPr>
            <w:tcW w:w="2358" w:type="dxa"/>
            <w:gridSpan w:val="2"/>
            <w:tcBorders>
              <w:right w:val="single" w:sz="4" w:space="0" w:color="auto"/>
            </w:tcBorders>
            <w:shd w:val="clear" w:color="auto" w:fill="auto"/>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+3</w:t>
            </w:r>
          </w:p>
        </w:tc>
      </w:tr>
      <w:tr w:rsidR="00213DCD" w:rsidRPr="00376CD5" w:rsidTr="006611AC">
        <w:trPr>
          <w:trHeight w:val="315"/>
        </w:trPr>
        <w:tc>
          <w:tcPr>
            <w:cnfStyle w:val="001000000000" w:firstRow="0" w:lastRow="0" w:firstColumn="1" w:lastColumn="0" w:oddVBand="0" w:evenVBand="0" w:oddHBand="0" w:evenHBand="0" w:firstRowFirstColumn="0" w:firstRowLastColumn="0" w:lastRowFirstColumn="0" w:lastRowLastColumn="0"/>
            <w:tcW w:w="3890" w:type="dxa"/>
            <w:tcBorders>
              <w:left w:val="single" w:sz="4" w:space="0" w:color="auto"/>
            </w:tcBorders>
            <w:shd w:val="clear" w:color="auto" w:fill="DDCAFA"/>
            <w:noWrap/>
            <w:hideMark/>
          </w:tcPr>
          <w:p w:rsidR="00376CD5" w:rsidRPr="00376CD5" w:rsidRDefault="00376CD5" w:rsidP="00376CD5">
            <w:pPr>
              <w:spacing w:after="160"/>
              <w:contextualSpacing/>
              <w:rPr>
                <w:rFonts w:eastAsia="Calibri"/>
                <w:b w:val="0"/>
                <w:color w:val="auto"/>
              </w:rPr>
            </w:pPr>
            <w:r w:rsidRPr="00376CD5">
              <w:rPr>
                <w:rFonts w:eastAsia="Calibri"/>
                <w:b w:val="0"/>
                <w:color w:val="auto"/>
              </w:rPr>
              <w:t>Accommodations/ food/ entertainment / recreation</w:t>
            </w:r>
          </w:p>
        </w:tc>
        <w:tc>
          <w:tcPr>
            <w:tcW w:w="1682" w:type="dxa"/>
            <w:shd w:val="clear" w:color="auto" w:fill="DDCAFA"/>
            <w:noWrap/>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+7</w:t>
            </w:r>
          </w:p>
        </w:tc>
        <w:tc>
          <w:tcPr>
            <w:tcW w:w="1646" w:type="dxa"/>
            <w:shd w:val="clear" w:color="auto" w:fill="DDCAFA"/>
            <w:noWrap/>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+8</w:t>
            </w:r>
          </w:p>
        </w:tc>
        <w:tc>
          <w:tcPr>
            <w:tcW w:w="2358" w:type="dxa"/>
            <w:gridSpan w:val="2"/>
            <w:tcBorders>
              <w:right w:val="single" w:sz="4" w:space="0" w:color="auto"/>
            </w:tcBorders>
            <w:shd w:val="clear" w:color="auto" w:fill="DDCAFA"/>
            <w:noWrap/>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-1</w:t>
            </w:r>
          </w:p>
        </w:tc>
      </w:tr>
      <w:tr w:rsidR="00213DCD" w:rsidRPr="00376CD5" w:rsidTr="006611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90" w:type="dxa"/>
            <w:tcBorders>
              <w:left w:val="single" w:sz="4" w:space="0" w:color="auto"/>
            </w:tcBorders>
            <w:shd w:val="clear" w:color="auto" w:fill="auto"/>
            <w:noWrap/>
            <w:hideMark/>
          </w:tcPr>
          <w:p w:rsidR="00376CD5" w:rsidRPr="00376CD5" w:rsidRDefault="00376CD5" w:rsidP="00376CD5">
            <w:pPr>
              <w:spacing w:after="160"/>
              <w:contextualSpacing/>
              <w:rPr>
                <w:rFonts w:eastAsia="Calibri"/>
                <w:b w:val="0"/>
                <w:color w:val="auto"/>
              </w:rPr>
            </w:pPr>
            <w:r w:rsidRPr="00376CD5">
              <w:rPr>
                <w:rFonts w:eastAsia="Calibri"/>
                <w:b w:val="0"/>
                <w:color w:val="auto"/>
              </w:rPr>
              <w:t>Information and communications systems</w:t>
            </w:r>
          </w:p>
        </w:tc>
        <w:tc>
          <w:tcPr>
            <w:tcW w:w="1682" w:type="dxa"/>
            <w:shd w:val="clear" w:color="auto" w:fill="auto"/>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+19</w:t>
            </w:r>
          </w:p>
        </w:tc>
        <w:tc>
          <w:tcPr>
            <w:tcW w:w="1646" w:type="dxa"/>
            <w:shd w:val="clear" w:color="auto" w:fill="auto"/>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+16</w:t>
            </w:r>
          </w:p>
        </w:tc>
        <w:tc>
          <w:tcPr>
            <w:tcW w:w="2358" w:type="dxa"/>
            <w:gridSpan w:val="2"/>
            <w:tcBorders>
              <w:right w:val="single" w:sz="4" w:space="0" w:color="auto"/>
            </w:tcBorders>
            <w:shd w:val="clear" w:color="auto" w:fill="auto"/>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+3</w:t>
            </w:r>
          </w:p>
        </w:tc>
      </w:tr>
      <w:tr w:rsidR="00213DCD" w:rsidRPr="00376CD5" w:rsidTr="006611AC">
        <w:trPr>
          <w:trHeight w:val="315"/>
        </w:trPr>
        <w:tc>
          <w:tcPr>
            <w:cnfStyle w:val="001000000000" w:firstRow="0" w:lastRow="0" w:firstColumn="1" w:lastColumn="0" w:oddVBand="0" w:evenVBand="0" w:oddHBand="0" w:evenHBand="0" w:firstRowFirstColumn="0" w:firstRowLastColumn="0" w:lastRowFirstColumn="0" w:lastRowLastColumn="0"/>
            <w:tcW w:w="3890" w:type="dxa"/>
            <w:tcBorders>
              <w:left w:val="single" w:sz="4" w:space="0" w:color="auto"/>
            </w:tcBorders>
            <w:shd w:val="clear" w:color="auto" w:fill="DDCAFA"/>
            <w:noWrap/>
            <w:hideMark/>
          </w:tcPr>
          <w:p w:rsidR="00376CD5" w:rsidRPr="00376CD5" w:rsidRDefault="00376CD5" w:rsidP="00376CD5">
            <w:pPr>
              <w:spacing w:after="160"/>
              <w:contextualSpacing/>
              <w:rPr>
                <w:rFonts w:eastAsia="Calibri"/>
                <w:b w:val="0"/>
                <w:color w:val="auto"/>
              </w:rPr>
            </w:pPr>
            <w:r w:rsidRPr="00376CD5">
              <w:rPr>
                <w:rFonts w:eastAsia="Calibri"/>
                <w:b w:val="0"/>
                <w:color w:val="auto"/>
              </w:rPr>
              <w:t>Business and professional services</w:t>
            </w:r>
          </w:p>
        </w:tc>
        <w:tc>
          <w:tcPr>
            <w:tcW w:w="1682" w:type="dxa"/>
            <w:shd w:val="clear" w:color="auto" w:fill="DDCAFA"/>
            <w:noWrap/>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+10</w:t>
            </w:r>
          </w:p>
        </w:tc>
        <w:tc>
          <w:tcPr>
            <w:tcW w:w="1646" w:type="dxa"/>
            <w:shd w:val="clear" w:color="auto" w:fill="DDCAFA"/>
            <w:noWrap/>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+11</w:t>
            </w:r>
          </w:p>
        </w:tc>
        <w:tc>
          <w:tcPr>
            <w:tcW w:w="2358" w:type="dxa"/>
            <w:gridSpan w:val="2"/>
            <w:tcBorders>
              <w:right w:val="single" w:sz="4" w:space="0" w:color="auto"/>
            </w:tcBorders>
            <w:shd w:val="clear" w:color="auto" w:fill="DDCAFA"/>
            <w:noWrap/>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-1</w:t>
            </w:r>
          </w:p>
        </w:tc>
      </w:tr>
      <w:tr w:rsidR="00213DCD" w:rsidRPr="00376CD5" w:rsidTr="006611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90" w:type="dxa"/>
            <w:tcBorders>
              <w:left w:val="single" w:sz="4" w:space="0" w:color="auto"/>
            </w:tcBorders>
            <w:shd w:val="clear" w:color="auto" w:fill="auto"/>
            <w:noWrap/>
            <w:hideMark/>
          </w:tcPr>
          <w:p w:rsidR="00376CD5" w:rsidRPr="00376CD5" w:rsidRDefault="00376CD5" w:rsidP="00376CD5">
            <w:pPr>
              <w:spacing w:after="160"/>
              <w:contextualSpacing/>
              <w:rPr>
                <w:rFonts w:eastAsia="Calibri"/>
                <w:b w:val="0"/>
                <w:color w:val="auto"/>
              </w:rPr>
            </w:pPr>
            <w:r w:rsidRPr="00376CD5">
              <w:rPr>
                <w:rFonts w:eastAsia="Calibri"/>
                <w:b w:val="0"/>
                <w:color w:val="auto"/>
              </w:rPr>
              <w:t>Personal services</w:t>
            </w:r>
          </w:p>
        </w:tc>
        <w:tc>
          <w:tcPr>
            <w:tcW w:w="1682" w:type="dxa"/>
            <w:shd w:val="clear" w:color="auto" w:fill="auto"/>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+6</w:t>
            </w:r>
          </w:p>
        </w:tc>
        <w:tc>
          <w:tcPr>
            <w:tcW w:w="1646" w:type="dxa"/>
            <w:shd w:val="clear" w:color="auto" w:fill="auto"/>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+5</w:t>
            </w:r>
          </w:p>
        </w:tc>
        <w:tc>
          <w:tcPr>
            <w:tcW w:w="2358" w:type="dxa"/>
            <w:gridSpan w:val="2"/>
            <w:tcBorders>
              <w:right w:val="single" w:sz="4" w:space="0" w:color="auto"/>
            </w:tcBorders>
            <w:shd w:val="clear" w:color="auto" w:fill="auto"/>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+1</w:t>
            </w:r>
          </w:p>
        </w:tc>
      </w:tr>
      <w:tr w:rsidR="00213DCD" w:rsidRPr="00376CD5" w:rsidTr="006611AC">
        <w:trPr>
          <w:trHeight w:val="315"/>
        </w:trPr>
        <w:tc>
          <w:tcPr>
            <w:cnfStyle w:val="001000000000" w:firstRow="0" w:lastRow="0" w:firstColumn="1" w:lastColumn="0" w:oddVBand="0" w:evenVBand="0" w:oddHBand="0" w:evenHBand="0" w:firstRowFirstColumn="0" w:firstRowLastColumn="0" w:lastRowFirstColumn="0" w:lastRowLastColumn="0"/>
            <w:tcW w:w="3890" w:type="dxa"/>
            <w:tcBorders>
              <w:left w:val="single" w:sz="4" w:space="0" w:color="auto"/>
            </w:tcBorders>
            <w:shd w:val="clear" w:color="auto" w:fill="DDCAFA"/>
            <w:noWrap/>
            <w:hideMark/>
          </w:tcPr>
          <w:p w:rsidR="00376CD5" w:rsidRPr="00376CD5" w:rsidRDefault="00376CD5" w:rsidP="00376CD5">
            <w:pPr>
              <w:spacing w:after="160"/>
              <w:contextualSpacing/>
              <w:rPr>
                <w:rFonts w:eastAsia="Calibri"/>
                <w:b w:val="0"/>
                <w:color w:val="auto"/>
              </w:rPr>
            </w:pPr>
            <w:r w:rsidRPr="00376CD5">
              <w:rPr>
                <w:rFonts w:eastAsia="Calibri"/>
                <w:b w:val="0"/>
                <w:color w:val="auto"/>
              </w:rPr>
              <w:t>Natural resources/</w:t>
            </w:r>
            <w:r w:rsidR="00845A6D">
              <w:rPr>
                <w:rFonts w:eastAsia="Calibri"/>
                <w:b w:val="0"/>
                <w:color w:val="auto"/>
              </w:rPr>
              <w:t xml:space="preserve"> </w:t>
            </w:r>
            <w:r w:rsidRPr="00376CD5">
              <w:rPr>
                <w:rFonts w:eastAsia="Calibri"/>
                <w:b w:val="0"/>
                <w:color w:val="auto"/>
              </w:rPr>
              <w:t>mining</w:t>
            </w:r>
          </w:p>
        </w:tc>
        <w:tc>
          <w:tcPr>
            <w:tcW w:w="1682" w:type="dxa"/>
            <w:shd w:val="clear" w:color="auto" w:fill="DDCAFA"/>
            <w:noWrap/>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-14</w:t>
            </w:r>
          </w:p>
        </w:tc>
        <w:tc>
          <w:tcPr>
            <w:tcW w:w="1646" w:type="dxa"/>
            <w:shd w:val="clear" w:color="auto" w:fill="DDCAFA"/>
            <w:noWrap/>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-4</w:t>
            </w:r>
          </w:p>
        </w:tc>
        <w:tc>
          <w:tcPr>
            <w:tcW w:w="2358" w:type="dxa"/>
            <w:gridSpan w:val="2"/>
            <w:tcBorders>
              <w:right w:val="single" w:sz="4" w:space="0" w:color="auto"/>
            </w:tcBorders>
            <w:shd w:val="clear" w:color="auto" w:fill="DDCAFA"/>
            <w:noWrap/>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-10</w:t>
            </w:r>
          </w:p>
        </w:tc>
      </w:tr>
      <w:tr w:rsidR="00213DCD" w:rsidRPr="00213DCD" w:rsidTr="006611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90" w:type="dxa"/>
            <w:tcBorders>
              <w:left w:val="single" w:sz="4" w:space="0" w:color="auto"/>
              <w:bottom w:val="single" w:sz="4" w:space="0" w:color="auto"/>
            </w:tcBorders>
            <w:shd w:val="clear" w:color="auto" w:fill="FFFFFF" w:themeFill="background1"/>
            <w:noWrap/>
            <w:hideMark/>
          </w:tcPr>
          <w:p w:rsidR="00376CD5" w:rsidRPr="00376CD5" w:rsidRDefault="00376CD5" w:rsidP="00376CD5">
            <w:pPr>
              <w:spacing w:after="160"/>
              <w:contextualSpacing/>
              <w:rPr>
                <w:rFonts w:eastAsia="Calibri"/>
                <w:b w:val="0"/>
                <w:color w:val="auto"/>
              </w:rPr>
            </w:pPr>
            <w:r w:rsidRPr="00376CD5">
              <w:rPr>
                <w:rFonts w:eastAsia="Calibri"/>
                <w:b w:val="0"/>
                <w:color w:val="auto"/>
              </w:rPr>
              <w:t>Public administration</w:t>
            </w:r>
          </w:p>
        </w:tc>
        <w:tc>
          <w:tcPr>
            <w:tcW w:w="1682" w:type="dxa"/>
            <w:tcBorders>
              <w:bottom w:val="single" w:sz="4" w:space="0" w:color="auto"/>
            </w:tcBorders>
            <w:shd w:val="clear" w:color="auto" w:fill="FFFFFF" w:themeFill="background1"/>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-4</w:t>
            </w:r>
          </w:p>
        </w:tc>
        <w:tc>
          <w:tcPr>
            <w:tcW w:w="1646" w:type="dxa"/>
            <w:tcBorders>
              <w:bottom w:val="single" w:sz="4" w:space="0" w:color="auto"/>
            </w:tcBorders>
            <w:shd w:val="clear" w:color="auto" w:fill="FFFFFF" w:themeFill="background1"/>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+7</w:t>
            </w:r>
          </w:p>
        </w:tc>
        <w:tc>
          <w:tcPr>
            <w:tcW w:w="2358" w:type="dxa"/>
            <w:gridSpan w:val="2"/>
            <w:tcBorders>
              <w:bottom w:val="single" w:sz="4" w:space="0" w:color="auto"/>
              <w:right w:val="single" w:sz="4" w:space="0" w:color="auto"/>
            </w:tcBorders>
            <w:shd w:val="clear" w:color="auto" w:fill="FFFFFF" w:themeFill="background1"/>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-3</w:t>
            </w:r>
          </w:p>
        </w:tc>
      </w:tr>
    </w:tbl>
    <w:p w:rsidR="00376CD5" w:rsidRPr="00376CD5" w:rsidRDefault="00376CD5" w:rsidP="00376CD5">
      <w:pPr>
        <w:spacing w:line="240" w:lineRule="auto"/>
        <w:contextualSpacing/>
        <w:rPr>
          <w:rFonts w:eastAsia="Calibri" w:cs="Times New Roman"/>
          <w:sz w:val="24"/>
          <w:szCs w:val="24"/>
        </w:rPr>
      </w:pPr>
    </w:p>
    <w:p w:rsidR="00A91393" w:rsidRDefault="00A91393" w:rsidP="00376CD5">
      <w:pPr>
        <w:spacing w:line="240" w:lineRule="auto"/>
        <w:contextualSpacing/>
        <w:rPr>
          <w:rFonts w:eastAsia="Calibri" w:cs="Times New Roman"/>
          <w:szCs w:val="24"/>
        </w:rPr>
      </w:pPr>
    </w:p>
    <w:p w:rsidR="00A91393" w:rsidRDefault="00A91393" w:rsidP="00376CD5">
      <w:pPr>
        <w:spacing w:line="240" w:lineRule="auto"/>
        <w:contextualSpacing/>
        <w:rPr>
          <w:rFonts w:eastAsia="Calibri" w:cs="Times New Roman"/>
          <w:szCs w:val="24"/>
        </w:rPr>
      </w:pPr>
    </w:p>
    <w:p w:rsidR="00A91393" w:rsidRDefault="00A91393" w:rsidP="00376CD5">
      <w:pPr>
        <w:spacing w:line="240" w:lineRule="auto"/>
        <w:contextualSpacing/>
        <w:rPr>
          <w:rFonts w:eastAsia="Calibri" w:cs="Times New Roman"/>
          <w:szCs w:val="24"/>
        </w:rPr>
      </w:pPr>
    </w:p>
    <w:p w:rsidR="00376CD5" w:rsidRPr="00376CD5" w:rsidRDefault="00376CD5" w:rsidP="00376CD5">
      <w:pPr>
        <w:spacing w:line="240" w:lineRule="auto"/>
        <w:contextualSpacing/>
        <w:rPr>
          <w:rFonts w:eastAsia="Calibri" w:cs="Times New Roman"/>
          <w:szCs w:val="24"/>
        </w:rPr>
      </w:pPr>
      <w:r w:rsidRPr="00376CD5">
        <w:rPr>
          <w:rFonts w:eastAsia="Calibri" w:cs="Times New Roman"/>
          <w:szCs w:val="24"/>
        </w:rPr>
        <w:t xml:space="preserve">As seen in </w:t>
      </w:r>
      <w:r w:rsidR="00845A6D">
        <w:rPr>
          <w:rFonts w:eastAsia="Calibri" w:cs="Times New Roman"/>
          <w:szCs w:val="24"/>
        </w:rPr>
        <w:t>f</w:t>
      </w:r>
      <w:r w:rsidRPr="00376CD5">
        <w:rPr>
          <w:rFonts w:eastAsia="Calibri" w:cs="Times New Roman"/>
          <w:szCs w:val="24"/>
        </w:rPr>
        <w:t xml:space="preserve">igure </w:t>
      </w:r>
      <w:r w:rsidR="001455CC">
        <w:rPr>
          <w:rFonts w:eastAsia="Calibri" w:cs="Times New Roman"/>
          <w:szCs w:val="24"/>
        </w:rPr>
        <w:t>4</w:t>
      </w:r>
      <w:r w:rsidRPr="00376CD5">
        <w:rPr>
          <w:rFonts w:eastAsia="Calibri" w:cs="Times New Roman"/>
          <w:szCs w:val="24"/>
        </w:rPr>
        <w:t xml:space="preserve">, the four sectors that receive the most positive ratings by respondents are the medical/ healthcare sector (+41 </w:t>
      </w:r>
      <w:r w:rsidRPr="00376CD5">
        <w:rPr>
          <w:rFonts w:eastAsia="Calibri" w:cs="Times New Roman"/>
          <w:i/>
          <w:szCs w:val="24"/>
        </w:rPr>
        <w:t>IIS</w:t>
      </w:r>
      <w:r w:rsidRPr="00376CD5">
        <w:rPr>
          <w:rFonts w:eastAsia="Calibri" w:cs="Times New Roman"/>
          <w:szCs w:val="24"/>
        </w:rPr>
        <w:t xml:space="preserve">), the construction sector (+19 IIS), the information/ communication sector (+19 IIS), and the finance/ insurance/ real estate sector (+18 </w:t>
      </w:r>
      <w:r w:rsidRPr="00376CD5">
        <w:rPr>
          <w:rFonts w:eastAsia="Calibri" w:cs="Times New Roman"/>
          <w:i/>
          <w:szCs w:val="24"/>
        </w:rPr>
        <w:t>IIS</w:t>
      </w:r>
      <w:r w:rsidRPr="00376CD5">
        <w:rPr>
          <w:rFonts w:eastAsia="Calibri" w:cs="Times New Roman"/>
          <w:szCs w:val="24"/>
        </w:rPr>
        <w:t xml:space="preserve">). Consistently, these four sectors have been the most positively rates sectors since the </w:t>
      </w:r>
      <w:proofErr w:type="gramStart"/>
      <w:r w:rsidRPr="00376CD5">
        <w:rPr>
          <w:rFonts w:eastAsia="Calibri" w:cs="Times New Roman"/>
          <w:szCs w:val="24"/>
        </w:rPr>
        <w:t>Spring</w:t>
      </w:r>
      <w:proofErr w:type="gramEnd"/>
      <w:r w:rsidRPr="00376CD5">
        <w:rPr>
          <w:rFonts w:eastAsia="Calibri" w:cs="Times New Roman"/>
          <w:szCs w:val="24"/>
        </w:rPr>
        <w:t xml:space="preserve"> 2012 survey. </w:t>
      </w:r>
    </w:p>
    <w:p w:rsidR="00376CD5" w:rsidRPr="00376CD5" w:rsidRDefault="00376CD5" w:rsidP="00376CD5">
      <w:pPr>
        <w:spacing w:line="240" w:lineRule="auto"/>
        <w:contextualSpacing/>
        <w:rPr>
          <w:rFonts w:eastAsia="Calibri" w:cs="Times New Roman"/>
          <w:sz w:val="24"/>
          <w:szCs w:val="24"/>
        </w:rPr>
      </w:pPr>
    </w:p>
    <w:p w:rsidR="00376CD5" w:rsidRPr="00376CD5" w:rsidRDefault="00A91393" w:rsidP="00376CD5">
      <w:pPr>
        <w:spacing w:line="240" w:lineRule="auto"/>
        <w:contextualSpacing/>
        <w:rPr>
          <w:rFonts w:eastAsia="Calibri" w:cs="Times New Roman"/>
          <w:sz w:val="24"/>
          <w:szCs w:val="24"/>
        </w:rPr>
      </w:pPr>
      <w:r>
        <w:rPr>
          <w:noProof/>
        </w:rPr>
        <w:drawing>
          <wp:inline distT="0" distB="0" distL="0" distR="0" wp14:anchorId="11076B75" wp14:editId="1FEFDECA">
            <wp:extent cx="5915025" cy="3800475"/>
            <wp:effectExtent l="0" t="0" r="9525"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Start w:id="0" w:name="_GoBack"/>
      <w:bookmarkEnd w:id="0"/>
    </w:p>
    <w:p w:rsidR="00376CD5" w:rsidRPr="00376CD5" w:rsidRDefault="00376CD5" w:rsidP="00376CD5">
      <w:pPr>
        <w:spacing w:line="240" w:lineRule="auto"/>
        <w:contextualSpacing/>
        <w:jc w:val="center"/>
        <w:rPr>
          <w:rFonts w:eastAsia="Calibri" w:cs="Times New Roman"/>
          <w:b/>
          <w:sz w:val="24"/>
          <w:szCs w:val="24"/>
        </w:rPr>
      </w:pPr>
    </w:p>
    <w:p w:rsidR="005935A5" w:rsidRDefault="005935A5">
      <w:pPr>
        <w:rPr>
          <w:rFonts w:eastAsia="Calibri" w:cs="Times New Roman"/>
          <w:b/>
          <w:sz w:val="24"/>
          <w:szCs w:val="24"/>
        </w:rPr>
      </w:pPr>
      <w:r>
        <w:rPr>
          <w:rFonts w:eastAsia="Calibri" w:cs="Times New Roman"/>
          <w:b/>
          <w:sz w:val="24"/>
          <w:szCs w:val="24"/>
        </w:rPr>
        <w:br w:type="page"/>
      </w:r>
    </w:p>
    <w:p w:rsidR="00376CD5" w:rsidRPr="00376CD5" w:rsidRDefault="00376CD5" w:rsidP="00376CD5">
      <w:pPr>
        <w:spacing w:line="240" w:lineRule="auto"/>
        <w:contextualSpacing/>
        <w:jc w:val="center"/>
        <w:rPr>
          <w:rFonts w:eastAsia="Calibri" w:cs="Times New Roman"/>
          <w:b/>
          <w:sz w:val="24"/>
          <w:szCs w:val="24"/>
        </w:rPr>
      </w:pPr>
      <w:r w:rsidRPr="00376CD5">
        <w:rPr>
          <w:rFonts w:eastAsia="Calibri" w:cs="Times New Roman"/>
          <w:b/>
          <w:sz w:val="24"/>
          <w:szCs w:val="24"/>
        </w:rPr>
        <w:lastRenderedPageBreak/>
        <w:t>Overall Expectations for “Your” Firm/</w:t>
      </w:r>
      <w:r w:rsidR="00845A6D">
        <w:rPr>
          <w:rFonts w:eastAsia="Calibri" w:cs="Times New Roman"/>
          <w:b/>
          <w:sz w:val="24"/>
          <w:szCs w:val="24"/>
        </w:rPr>
        <w:t xml:space="preserve"> </w:t>
      </w:r>
      <w:r w:rsidRPr="00376CD5">
        <w:rPr>
          <w:rFonts w:eastAsia="Calibri" w:cs="Times New Roman"/>
          <w:b/>
          <w:sz w:val="24"/>
          <w:szCs w:val="24"/>
        </w:rPr>
        <w:t>Organization</w:t>
      </w:r>
    </w:p>
    <w:p w:rsidR="00376CD5" w:rsidRPr="00376CD5" w:rsidRDefault="00376CD5" w:rsidP="00376CD5">
      <w:pPr>
        <w:spacing w:line="240" w:lineRule="auto"/>
        <w:contextualSpacing/>
        <w:jc w:val="center"/>
        <w:rPr>
          <w:rFonts w:eastAsia="Calibri" w:cs="Times New Roman"/>
          <w:b/>
          <w:sz w:val="24"/>
          <w:szCs w:val="24"/>
        </w:rPr>
      </w:pPr>
    </w:p>
    <w:p w:rsidR="00376CD5" w:rsidRPr="00376CD5" w:rsidRDefault="005935A5" w:rsidP="00376CD5">
      <w:pPr>
        <w:spacing w:line="240" w:lineRule="auto"/>
        <w:contextualSpacing/>
        <w:rPr>
          <w:rFonts w:eastAsia="Calibri" w:cs="Times New Roman"/>
          <w:szCs w:val="24"/>
        </w:rPr>
      </w:pPr>
      <w:r>
        <w:rPr>
          <w:rFonts w:eastAsia="Calibri" w:cs="Times New Roman"/>
          <w:szCs w:val="24"/>
        </w:rPr>
        <w:t xml:space="preserve">The </w:t>
      </w:r>
      <w:proofErr w:type="gramStart"/>
      <w:r>
        <w:rPr>
          <w:rFonts w:eastAsia="Calibri" w:cs="Times New Roman"/>
          <w:szCs w:val="24"/>
        </w:rPr>
        <w:t>Fall</w:t>
      </w:r>
      <w:proofErr w:type="gramEnd"/>
      <w:r>
        <w:rPr>
          <w:rFonts w:eastAsia="Calibri" w:cs="Times New Roman"/>
          <w:szCs w:val="24"/>
        </w:rPr>
        <w:t xml:space="preserve"> 2014 Survey indicates that e</w:t>
      </w:r>
      <w:r w:rsidR="00376CD5" w:rsidRPr="00376CD5">
        <w:rPr>
          <w:rFonts w:eastAsia="Calibri" w:cs="Times New Roman"/>
          <w:szCs w:val="24"/>
        </w:rPr>
        <w:t>xpectations for individual business</w:t>
      </w:r>
      <w:r w:rsidR="00376CD5" w:rsidRPr="00376CD5">
        <w:rPr>
          <w:rFonts w:eastAsia="Calibri" w:cs="Times New Roman"/>
          <w:szCs w:val="24"/>
        </w:rPr>
        <w:softHyphen/>
      </w:r>
      <w:r w:rsidR="00376CD5" w:rsidRPr="00376CD5">
        <w:rPr>
          <w:rFonts w:eastAsia="Calibri" w:cs="Times New Roman"/>
          <w:szCs w:val="24"/>
        </w:rPr>
        <w:softHyphen/>
        <w:t xml:space="preserve">es/ firms/ organizations over the next 12 months are very similar to the Spring 2014 results. Respondents rate all economic aspects of their own firm/ business/ organization positively, with gross revenue/ sales </w:t>
      </w:r>
      <w:r>
        <w:rPr>
          <w:rFonts w:eastAsia="Calibri" w:cs="Times New Roman"/>
          <w:szCs w:val="24"/>
        </w:rPr>
        <w:t>(</w:t>
      </w:r>
      <w:r>
        <w:rPr>
          <w:rFonts w:eastAsia="Calibri" w:cs="Times New Roman"/>
          <w:i/>
          <w:szCs w:val="24"/>
        </w:rPr>
        <w:t xml:space="preserve">IIS </w:t>
      </w:r>
      <w:r>
        <w:rPr>
          <w:rFonts w:eastAsia="Calibri" w:cs="Times New Roman"/>
          <w:szCs w:val="24"/>
        </w:rPr>
        <w:t xml:space="preserve">of +8) </w:t>
      </w:r>
      <w:r w:rsidR="00376CD5" w:rsidRPr="00376CD5">
        <w:rPr>
          <w:rFonts w:eastAsia="Calibri" w:cs="Times New Roman"/>
          <w:szCs w:val="24"/>
        </w:rPr>
        <w:t xml:space="preserve">and overall status </w:t>
      </w:r>
      <w:r>
        <w:rPr>
          <w:rFonts w:eastAsia="Calibri" w:cs="Times New Roman"/>
          <w:szCs w:val="24"/>
        </w:rPr>
        <w:t>(</w:t>
      </w:r>
      <w:r w:rsidRPr="005935A5">
        <w:rPr>
          <w:rFonts w:eastAsia="Calibri" w:cs="Times New Roman"/>
          <w:i/>
          <w:szCs w:val="24"/>
        </w:rPr>
        <w:t>IIS</w:t>
      </w:r>
      <w:r>
        <w:rPr>
          <w:rFonts w:eastAsia="Calibri" w:cs="Times New Roman"/>
          <w:szCs w:val="24"/>
        </w:rPr>
        <w:t xml:space="preserve"> of +14) </w:t>
      </w:r>
      <w:r w:rsidR="00376CD5" w:rsidRPr="00376CD5">
        <w:rPr>
          <w:rFonts w:eastAsia="Calibri" w:cs="Times New Roman"/>
          <w:szCs w:val="24"/>
        </w:rPr>
        <w:t>receiving the most positive ratings</w:t>
      </w:r>
      <w:r>
        <w:rPr>
          <w:rFonts w:eastAsia="Calibri" w:cs="Times New Roman"/>
          <w:szCs w:val="24"/>
        </w:rPr>
        <w:t>. Overall, expectations regarding c</w:t>
      </w:r>
      <w:r w:rsidR="00376CD5" w:rsidRPr="00376CD5">
        <w:rPr>
          <w:rFonts w:eastAsia="Calibri" w:cs="Times New Roman"/>
          <w:szCs w:val="24"/>
        </w:rPr>
        <w:t>apital investment</w:t>
      </w:r>
      <w:r>
        <w:rPr>
          <w:rFonts w:eastAsia="Calibri" w:cs="Times New Roman"/>
          <w:szCs w:val="24"/>
        </w:rPr>
        <w:t xml:space="preserve"> are th</w:t>
      </w:r>
      <w:r w:rsidR="00376CD5" w:rsidRPr="00376CD5">
        <w:rPr>
          <w:rFonts w:eastAsia="Calibri" w:cs="Times New Roman"/>
          <w:szCs w:val="24"/>
        </w:rPr>
        <w:t>e least positive</w:t>
      </w:r>
      <w:r>
        <w:rPr>
          <w:rFonts w:eastAsia="Calibri" w:cs="Times New Roman"/>
          <w:szCs w:val="24"/>
        </w:rPr>
        <w:t xml:space="preserve"> (</w:t>
      </w:r>
      <w:proofErr w:type="gramStart"/>
      <w:r>
        <w:rPr>
          <w:rFonts w:eastAsia="Calibri" w:cs="Times New Roman"/>
          <w:i/>
          <w:szCs w:val="24"/>
        </w:rPr>
        <w:t xml:space="preserve">IIS </w:t>
      </w:r>
      <w:r>
        <w:rPr>
          <w:rFonts w:eastAsia="Calibri" w:cs="Times New Roman"/>
          <w:szCs w:val="24"/>
        </w:rPr>
        <w:t xml:space="preserve"> of</w:t>
      </w:r>
      <w:proofErr w:type="gramEnd"/>
      <w:r>
        <w:rPr>
          <w:rFonts w:eastAsia="Calibri" w:cs="Times New Roman"/>
          <w:szCs w:val="24"/>
        </w:rPr>
        <w:t xml:space="preserve"> +8). Interesting, expectations regardin</w:t>
      </w:r>
      <w:r w:rsidR="00A9142E">
        <w:rPr>
          <w:rFonts w:eastAsia="Calibri" w:cs="Times New Roman"/>
          <w:szCs w:val="24"/>
        </w:rPr>
        <w:t>g total number of employees</w:t>
      </w:r>
      <w:r>
        <w:rPr>
          <w:rFonts w:eastAsia="Calibri" w:cs="Times New Roman"/>
          <w:szCs w:val="24"/>
        </w:rPr>
        <w:t xml:space="preserve"> experienced a five point increase from </w:t>
      </w:r>
      <w:proofErr w:type="gramStart"/>
      <w:r>
        <w:rPr>
          <w:rFonts w:eastAsia="Calibri" w:cs="Times New Roman"/>
          <w:szCs w:val="24"/>
        </w:rPr>
        <w:t>Spring</w:t>
      </w:r>
      <w:proofErr w:type="gramEnd"/>
      <w:r>
        <w:rPr>
          <w:rFonts w:eastAsia="Calibri" w:cs="Times New Roman"/>
          <w:szCs w:val="24"/>
        </w:rPr>
        <w:t xml:space="preserve"> 2014 to Fall 2014, from an </w:t>
      </w:r>
      <w:r>
        <w:rPr>
          <w:rFonts w:eastAsia="Calibri" w:cs="Times New Roman"/>
          <w:i/>
          <w:szCs w:val="24"/>
        </w:rPr>
        <w:t xml:space="preserve">IIS </w:t>
      </w:r>
      <w:r>
        <w:rPr>
          <w:rFonts w:eastAsia="Calibri" w:cs="Times New Roman"/>
          <w:szCs w:val="24"/>
        </w:rPr>
        <w:t>of +6 in Spring 2014 to +11 in Fall 2014.</w:t>
      </w:r>
      <w:r w:rsidR="00376CD5" w:rsidRPr="00376CD5">
        <w:rPr>
          <w:rFonts w:eastAsia="Calibri" w:cs="Times New Roman"/>
          <w:szCs w:val="24"/>
        </w:rPr>
        <w:t xml:space="preserve"> Overall, the </w:t>
      </w:r>
      <w:r w:rsidR="00376CD5" w:rsidRPr="00376CD5">
        <w:rPr>
          <w:rFonts w:eastAsia="Calibri" w:cs="Times New Roman"/>
          <w:i/>
          <w:szCs w:val="24"/>
        </w:rPr>
        <w:t xml:space="preserve">IIS </w:t>
      </w:r>
      <w:r w:rsidR="00376CD5" w:rsidRPr="00376CD5">
        <w:rPr>
          <w:rFonts w:eastAsia="Calibri" w:cs="Times New Roman"/>
          <w:szCs w:val="24"/>
        </w:rPr>
        <w:t>scores remain very stable betw</w:t>
      </w:r>
      <w:r w:rsidR="00A91393">
        <w:rPr>
          <w:rFonts w:eastAsia="Calibri" w:cs="Times New Roman"/>
          <w:szCs w:val="24"/>
        </w:rPr>
        <w:t xml:space="preserve">een the </w:t>
      </w:r>
      <w:proofErr w:type="gramStart"/>
      <w:r w:rsidR="00A91393">
        <w:rPr>
          <w:rFonts w:eastAsia="Calibri" w:cs="Times New Roman"/>
          <w:szCs w:val="24"/>
        </w:rPr>
        <w:t>Spring</w:t>
      </w:r>
      <w:proofErr w:type="gramEnd"/>
      <w:r w:rsidR="00A91393">
        <w:rPr>
          <w:rFonts w:eastAsia="Calibri" w:cs="Times New Roman"/>
          <w:szCs w:val="24"/>
        </w:rPr>
        <w:t xml:space="preserve"> and Fall of 2014 (see Table 5)</w:t>
      </w:r>
      <w:r w:rsidR="00376CD5" w:rsidRPr="00376CD5">
        <w:rPr>
          <w:rFonts w:eastAsia="Calibri" w:cs="Times New Roman"/>
          <w:szCs w:val="24"/>
        </w:rPr>
        <w:t xml:space="preserve">. </w:t>
      </w:r>
    </w:p>
    <w:p w:rsidR="00376CD5" w:rsidRPr="00376CD5" w:rsidRDefault="00376CD5" w:rsidP="00376CD5">
      <w:pPr>
        <w:spacing w:line="240" w:lineRule="auto"/>
        <w:contextualSpacing/>
        <w:rPr>
          <w:rFonts w:eastAsia="Calibri" w:cs="Times New Roman"/>
          <w:sz w:val="24"/>
          <w:szCs w:val="24"/>
        </w:rPr>
      </w:pPr>
    </w:p>
    <w:tbl>
      <w:tblPr>
        <w:tblStyle w:val="LightShading-Accent41"/>
        <w:tblW w:w="9355" w:type="dxa"/>
        <w:tblLook w:val="04A0" w:firstRow="1" w:lastRow="0" w:firstColumn="1" w:lastColumn="0" w:noHBand="0" w:noVBand="1"/>
      </w:tblPr>
      <w:tblGrid>
        <w:gridCol w:w="2695"/>
        <w:gridCol w:w="2093"/>
        <w:gridCol w:w="1980"/>
        <w:gridCol w:w="2587"/>
      </w:tblGrid>
      <w:tr w:rsidR="005935A5" w:rsidRPr="00376CD5" w:rsidTr="005935A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355" w:type="dxa"/>
            <w:gridSpan w:val="4"/>
            <w:tcBorders>
              <w:top w:val="single" w:sz="4" w:space="0" w:color="auto"/>
              <w:left w:val="single" w:sz="4" w:space="0" w:color="auto"/>
              <w:right w:val="single" w:sz="4" w:space="0" w:color="auto"/>
            </w:tcBorders>
            <w:noWrap/>
            <w:hideMark/>
          </w:tcPr>
          <w:p w:rsidR="00376CD5" w:rsidRPr="00376CD5" w:rsidRDefault="00A91393" w:rsidP="00376CD5">
            <w:pPr>
              <w:spacing w:after="160"/>
              <w:contextualSpacing/>
              <w:rPr>
                <w:color w:val="auto"/>
              </w:rPr>
            </w:pPr>
            <w:r>
              <w:rPr>
                <w:color w:val="auto"/>
              </w:rPr>
              <w:t>Table 5</w:t>
            </w:r>
            <w:r w:rsidR="00376CD5" w:rsidRPr="00376CD5">
              <w:rPr>
                <w:color w:val="auto"/>
              </w:rPr>
              <w:t>. Intensity Index Scores for own firm/</w:t>
            </w:r>
            <w:r w:rsidR="00845A6D">
              <w:rPr>
                <w:color w:val="auto"/>
              </w:rPr>
              <w:t xml:space="preserve"> </w:t>
            </w:r>
            <w:r w:rsidR="00376CD5" w:rsidRPr="00376CD5">
              <w:rPr>
                <w:color w:val="auto"/>
              </w:rPr>
              <w:t>business/</w:t>
            </w:r>
            <w:r w:rsidR="00845A6D">
              <w:rPr>
                <w:color w:val="auto"/>
              </w:rPr>
              <w:t xml:space="preserve"> </w:t>
            </w:r>
            <w:r w:rsidR="00376CD5" w:rsidRPr="00376CD5">
              <w:rPr>
                <w:color w:val="auto"/>
              </w:rPr>
              <w:t>organization expectations</w:t>
            </w:r>
          </w:p>
        </w:tc>
      </w:tr>
      <w:tr w:rsidR="005935A5" w:rsidRPr="00376CD5" w:rsidTr="005935A5">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695" w:type="dxa"/>
            <w:vMerge w:val="restart"/>
            <w:tcBorders>
              <w:left w:val="single" w:sz="4" w:space="0" w:color="auto"/>
            </w:tcBorders>
            <w:shd w:val="clear" w:color="auto" w:fill="DDCAFA"/>
            <w:noWrap/>
            <w:hideMark/>
          </w:tcPr>
          <w:p w:rsidR="00376CD5" w:rsidRPr="00376CD5" w:rsidRDefault="00376CD5" w:rsidP="00376CD5">
            <w:pPr>
              <w:spacing w:after="160"/>
              <w:contextualSpacing/>
              <w:rPr>
                <w:color w:val="auto"/>
              </w:rPr>
            </w:pPr>
          </w:p>
        </w:tc>
        <w:tc>
          <w:tcPr>
            <w:tcW w:w="2093" w:type="dxa"/>
            <w:vMerge w:val="restart"/>
            <w:shd w:val="clear" w:color="auto" w:fill="DDCAFA"/>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b/>
                <w:bCs/>
                <w:i/>
                <w:color w:val="auto"/>
              </w:rPr>
            </w:pPr>
            <w:r w:rsidRPr="00376CD5">
              <w:rPr>
                <w:b/>
                <w:bCs/>
                <w:color w:val="auto"/>
              </w:rPr>
              <w:t xml:space="preserve">Fall 2014 </w:t>
            </w:r>
            <w:r w:rsidRPr="00376CD5">
              <w:rPr>
                <w:b/>
                <w:bCs/>
                <w:i/>
                <w:color w:val="auto"/>
              </w:rPr>
              <w:t>IIS</w:t>
            </w:r>
          </w:p>
        </w:tc>
        <w:tc>
          <w:tcPr>
            <w:tcW w:w="1980" w:type="dxa"/>
            <w:vMerge w:val="restart"/>
            <w:shd w:val="clear" w:color="auto" w:fill="DDCAFA"/>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b/>
                <w:bCs/>
                <w:color w:val="auto"/>
              </w:rPr>
            </w:pPr>
            <w:r w:rsidRPr="00376CD5">
              <w:rPr>
                <w:b/>
                <w:bCs/>
                <w:color w:val="auto"/>
              </w:rPr>
              <w:t>Spring 2014</w:t>
            </w:r>
            <w:r w:rsidRPr="00376CD5">
              <w:rPr>
                <w:b/>
                <w:bCs/>
                <w:i/>
                <w:color w:val="auto"/>
              </w:rPr>
              <w:t xml:space="preserve"> IIS</w:t>
            </w:r>
          </w:p>
        </w:tc>
        <w:tc>
          <w:tcPr>
            <w:tcW w:w="2587" w:type="dxa"/>
            <w:vMerge w:val="restart"/>
            <w:tcBorders>
              <w:right w:val="single" w:sz="4" w:space="0" w:color="auto"/>
            </w:tcBorders>
            <w:shd w:val="clear" w:color="auto" w:fill="DDCAFA"/>
            <w:hideMark/>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b/>
                <w:bCs/>
                <w:color w:val="auto"/>
              </w:rPr>
            </w:pPr>
            <w:r w:rsidRPr="00376CD5">
              <w:rPr>
                <w:b/>
                <w:bCs/>
                <w:color w:val="auto"/>
              </w:rPr>
              <w:t>Difference (Fall 2014 - Spring 2014)</w:t>
            </w:r>
          </w:p>
        </w:tc>
      </w:tr>
      <w:tr w:rsidR="005935A5" w:rsidRPr="00376CD5" w:rsidTr="005935A5">
        <w:trPr>
          <w:trHeight w:val="270"/>
        </w:trPr>
        <w:tc>
          <w:tcPr>
            <w:cnfStyle w:val="001000000000" w:firstRow="0" w:lastRow="0" w:firstColumn="1" w:lastColumn="0" w:oddVBand="0" w:evenVBand="0" w:oddHBand="0" w:evenHBand="0" w:firstRowFirstColumn="0" w:firstRowLastColumn="0" w:lastRowFirstColumn="0" w:lastRowLastColumn="0"/>
            <w:tcW w:w="2695" w:type="dxa"/>
            <w:vMerge/>
            <w:tcBorders>
              <w:left w:val="single" w:sz="4" w:space="0" w:color="auto"/>
            </w:tcBorders>
            <w:shd w:val="clear" w:color="auto" w:fill="DDCAFA"/>
            <w:hideMark/>
          </w:tcPr>
          <w:p w:rsidR="00376CD5" w:rsidRPr="00376CD5" w:rsidRDefault="00376CD5" w:rsidP="00376CD5">
            <w:pPr>
              <w:spacing w:after="160"/>
              <w:contextualSpacing/>
              <w:rPr>
                <w:color w:val="auto"/>
              </w:rPr>
            </w:pPr>
          </w:p>
        </w:tc>
        <w:tc>
          <w:tcPr>
            <w:tcW w:w="2093" w:type="dxa"/>
            <w:vMerge/>
            <w:shd w:val="clear" w:color="auto" w:fill="DDCAFA"/>
          </w:tcPr>
          <w:p w:rsidR="00376CD5" w:rsidRPr="00376CD5" w:rsidRDefault="00376CD5" w:rsidP="00376CD5">
            <w:pPr>
              <w:spacing w:after="160"/>
              <w:contextualSpacing/>
              <w:cnfStyle w:val="000000000000" w:firstRow="0" w:lastRow="0" w:firstColumn="0" w:lastColumn="0" w:oddVBand="0" w:evenVBand="0" w:oddHBand="0" w:evenHBand="0" w:firstRowFirstColumn="0" w:firstRowLastColumn="0" w:lastRowFirstColumn="0" w:lastRowLastColumn="0"/>
              <w:rPr>
                <w:b/>
                <w:bCs/>
                <w:color w:val="auto"/>
              </w:rPr>
            </w:pPr>
          </w:p>
        </w:tc>
        <w:tc>
          <w:tcPr>
            <w:tcW w:w="1980" w:type="dxa"/>
            <w:vMerge/>
            <w:shd w:val="clear" w:color="auto" w:fill="DDCAFA"/>
          </w:tcPr>
          <w:p w:rsidR="00376CD5" w:rsidRPr="00376CD5" w:rsidRDefault="00376CD5" w:rsidP="00376CD5">
            <w:pPr>
              <w:spacing w:after="160"/>
              <w:contextualSpacing/>
              <w:cnfStyle w:val="000000000000" w:firstRow="0" w:lastRow="0" w:firstColumn="0" w:lastColumn="0" w:oddVBand="0" w:evenVBand="0" w:oddHBand="0" w:evenHBand="0" w:firstRowFirstColumn="0" w:firstRowLastColumn="0" w:lastRowFirstColumn="0" w:lastRowLastColumn="0"/>
              <w:rPr>
                <w:b/>
                <w:bCs/>
                <w:color w:val="auto"/>
              </w:rPr>
            </w:pPr>
          </w:p>
        </w:tc>
        <w:tc>
          <w:tcPr>
            <w:tcW w:w="2587" w:type="dxa"/>
            <w:vMerge/>
            <w:tcBorders>
              <w:right w:val="single" w:sz="4" w:space="0" w:color="auto"/>
            </w:tcBorders>
            <w:shd w:val="clear" w:color="auto" w:fill="DDCAFA"/>
            <w:hideMark/>
          </w:tcPr>
          <w:p w:rsidR="00376CD5" w:rsidRPr="00376CD5" w:rsidRDefault="00376CD5" w:rsidP="00376CD5">
            <w:pPr>
              <w:spacing w:after="160"/>
              <w:contextualSpacing/>
              <w:cnfStyle w:val="000000000000" w:firstRow="0" w:lastRow="0" w:firstColumn="0" w:lastColumn="0" w:oddVBand="0" w:evenVBand="0" w:oddHBand="0" w:evenHBand="0" w:firstRowFirstColumn="0" w:firstRowLastColumn="0" w:lastRowFirstColumn="0" w:lastRowLastColumn="0"/>
              <w:rPr>
                <w:b/>
                <w:bCs/>
                <w:color w:val="auto"/>
              </w:rPr>
            </w:pPr>
          </w:p>
        </w:tc>
      </w:tr>
      <w:tr w:rsidR="005935A5" w:rsidRPr="00376CD5" w:rsidTr="005935A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shd w:val="clear" w:color="auto" w:fill="auto"/>
            <w:noWrap/>
            <w:hideMark/>
          </w:tcPr>
          <w:p w:rsidR="00376CD5" w:rsidRPr="00376CD5" w:rsidRDefault="00376CD5" w:rsidP="00376CD5">
            <w:pPr>
              <w:spacing w:after="160"/>
              <w:contextualSpacing/>
              <w:rPr>
                <w:b w:val="0"/>
                <w:color w:val="auto"/>
              </w:rPr>
            </w:pPr>
            <w:r w:rsidRPr="00376CD5">
              <w:rPr>
                <w:b w:val="0"/>
                <w:color w:val="auto"/>
              </w:rPr>
              <w:t>Capital investment</w:t>
            </w:r>
          </w:p>
        </w:tc>
        <w:tc>
          <w:tcPr>
            <w:tcW w:w="2093" w:type="dxa"/>
            <w:shd w:val="clear" w:color="auto" w:fill="auto"/>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376CD5">
              <w:rPr>
                <w:color w:val="auto"/>
              </w:rPr>
              <w:t>+8</w:t>
            </w:r>
          </w:p>
        </w:tc>
        <w:tc>
          <w:tcPr>
            <w:tcW w:w="1980" w:type="dxa"/>
            <w:shd w:val="clear" w:color="auto" w:fill="auto"/>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376CD5">
              <w:rPr>
                <w:color w:val="auto"/>
              </w:rPr>
              <w:t>+11</w:t>
            </w:r>
          </w:p>
        </w:tc>
        <w:tc>
          <w:tcPr>
            <w:tcW w:w="2587" w:type="dxa"/>
            <w:tcBorders>
              <w:right w:val="single" w:sz="4" w:space="0" w:color="auto"/>
            </w:tcBorders>
            <w:shd w:val="clear" w:color="auto" w:fill="auto"/>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376CD5">
              <w:rPr>
                <w:color w:val="auto"/>
              </w:rPr>
              <w:t>-3</w:t>
            </w:r>
          </w:p>
        </w:tc>
      </w:tr>
      <w:tr w:rsidR="005935A5" w:rsidRPr="00376CD5" w:rsidTr="005935A5">
        <w:trPr>
          <w:trHeight w:val="315"/>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shd w:val="clear" w:color="auto" w:fill="DDCAFA"/>
            <w:noWrap/>
            <w:hideMark/>
          </w:tcPr>
          <w:p w:rsidR="00376CD5" w:rsidRPr="00376CD5" w:rsidRDefault="00376CD5" w:rsidP="00376CD5">
            <w:pPr>
              <w:spacing w:after="160"/>
              <w:contextualSpacing/>
              <w:rPr>
                <w:b w:val="0"/>
                <w:color w:val="auto"/>
              </w:rPr>
            </w:pPr>
            <w:r w:rsidRPr="00376CD5">
              <w:rPr>
                <w:b w:val="0"/>
                <w:color w:val="auto"/>
              </w:rPr>
              <w:t>Total number of employees</w:t>
            </w:r>
          </w:p>
        </w:tc>
        <w:tc>
          <w:tcPr>
            <w:tcW w:w="2093" w:type="dxa"/>
            <w:shd w:val="clear" w:color="auto" w:fill="DDCAFA"/>
            <w:noWrap/>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376CD5">
              <w:rPr>
                <w:color w:val="auto"/>
              </w:rPr>
              <w:t>+11</w:t>
            </w:r>
          </w:p>
        </w:tc>
        <w:tc>
          <w:tcPr>
            <w:tcW w:w="1980" w:type="dxa"/>
            <w:shd w:val="clear" w:color="auto" w:fill="DDCAFA"/>
            <w:noWrap/>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376CD5">
              <w:rPr>
                <w:color w:val="auto"/>
              </w:rPr>
              <w:t>+6</w:t>
            </w:r>
          </w:p>
        </w:tc>
        <w:tc>
          <w:tcPr>
            <w:tcW w:w="2587" w:type="dxa"/>
            <w:tcBorders>
              <w:right w:val="single" w:sz="4" w:space="0" w:color="auto"/>
            </w:tcBorders>
            <w:shd w:val="clear" w:color="auto" w:fill="DDCAFA"/>
            <w:noWrap/>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376CD5">
              <w:rPr>
                <w:color w:val="auto"/>
              </w:rPr>
              <w:t>+5</w:t>
            </w:r>
          </w:p>
        </w:tc>
      </w:tr>
      <w:tr w:rsidR="005935A5" w:rsidRPr="00376CD5" w:rsidTr="005935A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shd w:val="clear" w:color="auto" w:fill="auto"/>
            <w:noWrap/>
            <w:hideMark/>
          </w:tcPr>
          <w:p w:rsidR="00376CD5" w:rsidRPr="00376CD5" w:rsidRDefault="00376CD5" w:rsidP="00376CD5">
            <w:pPr>
              <w:spacing w:after="160"/>
              <w:contextualSpacing/>
              <w:rPr>
                <w:b w:val="0"/>
                <w:color w:val="auto"/>
              </w:rPr>
            </w:pPr>
            <w:r w:rsidRPr="00376CD5">
              <w:rPr>
                <w:b w:val="0"/>
                <w:color w:val="auto"/>
              </w:rPr>
              <w:t>Gross revenue/</w:t>
            </w:r>
            <w:r w:rsidR="00845A6D">
              <w:rPr>
                <w:b w:val="0"/>
                <w:color w:val="auto"/>
              </w:rPr>
              <w:t xml:space="preserve"> </w:t>
            </w:r>
            <w:r w:rsidRPr="00376CD5">
              <w:rPr>
                <w:b w:val="0"/>
                <w:color w:val="auto"/>
              </w:rPr>
              <w:t>sales</w:t>
            </w:r>
          </w:p>
        </w:tc>
        <w:tc>
          <w:tcPr>
            <w:tcW w:w="2093" w:type="dxa"/>
            <w:shd w:val="clear" w:color="auto" w:fill="auto"/>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376CD5">
              <w:rPr>
                <w:color w:val="auto"/>
              </w:rPr>
              <w:t>+14</w:t>
            </w:r>
          </w:p>
        </w:tc>
        <w:tc>
          <w:tcPr>
            <w:tcW w:w="1980" w:type="dxa"/>
            <w:shd w:val="clear" w:color="auto" w:fill="auto"/>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376CD5">
              <w:rPr>
                <w:color w:val="auto"/>
              </w:rPr>
              <w:t>+14</w:t>
            </w:r>
          </w:p>
        </w:tc>
        <w:tc>
          <w:tcPr>
            <w:tcW w:w="2587" w:type="dxa"/>
            <w:tcBorders>
              <w:right w:val="single" w:sz="4" w:space="0" w:color="auto"/>
            </w:tcBorders>
            <w:shd w:val="clear" w:color="auto" w:fill="auto"/>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376CD5">
              <w:rPr>
                <w:color w:val="auto"/>
              </w:rPr>
              <w:t>0</w:t>
            </w:r>
          </w:p>
        </w:tc>
      </w:tr>
      <w:tr w:rsidR="005935A5" w:rsidRPr="00376CD5" w:rsidTr="005935A5">
        <w:trPr>
          <w:trHeight w:val="315"/>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shd w:val="clear" w:color="auto" w:fill="DDCAFA"/>
            <w:noWrap/>
            <w:hideMark/>
          </w:tcPr>
          <w:p w:rsidR="00376CD5" w:rsidRPr="00376CD5" w:rsidRDefault="00376CD5" w:rsidP="00376CD5">
            <w:pPr>
              <w:spacing w:after="160"/>
              <w:contextualSpacing/>
              <w:rPr>
                <w:b w:val="0"/>
                <w:color w:val="auto"/>
              </w:rPr>
            </w:pPr>
            <w:r w:rsidRPr="00376CD5">
              <w:rPr>
                <w:b w:val="0"/>
                <w:color w:val="auto"/>
              </w:rPr>
              <w:t>Profitability</w:t>
            </w:r>
          </w:p>
        </w:tc>
        <w:tc>
          <w:tcPr>
            <w:tcW w:w="2093" w:type="dxa"/>
            <w:shd w:val="clear" w:color="auto" w:fill="DDCAFA"/>
            <w:noWrap/>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376CD5">
              <w:rPr>
                <w:color w:val="auto"/>
              </w:rPr>
              <w:t>+9</w:t>
            </w:r>
          </w:p>
        </w:tc>
        <w:tc>
          <w:tcPr>
            <w:tcW w:w="1980" w:type="dxa"/>
            <w:shd w:val="clear" w:color="auto" w:fill="DDCAFA"/>
            <w:noWrap/>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376CD5">
              <w:rPr>
                <w:color w:val="auto"/>
              </w:rPr>
              <w:t>+8</w:t>
            </w:r>
          </w:p>
        </w:tc>
        <w:tc>
          <w:tcPr>
            <w:tcW w:w="2587" w:type="dxa"/>
            <w:tcBorders>
              <w:right w:val="single" w:sz="4" w:space="0" w:color="auto"/>
            </w:tcBorders>
            <w:shd w:val="clear" w:color="auto" w:fill="DDCAFA"/>
            <w:noWrap/>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376CD5">
              <w:rPr>
                <w:color w:val="auto"/>
              </w:rPr>
              <w:t>+1</w:t>
            </w:r>
          </w:p>
        </w:tc>
      </w:tr>
      <w:tr w:rsidR="005935A5" w:rsidRPr="00376CD5" w:rsidTr="005935A5">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bottom w:val="single" w:sz="4" w:space="0" w:color="auto"/>
            </w:tcBorders>
            <w:shd w:val="clear" w:color="auto" w:fill="auto"/>
            <w:noWrap/>
            <w:hideMark/>
          </w:tcPr>
          <w:p w:rsidR="00376CD5" w:rsidRPr="00376CD5" w:rsidRDefault="00376CD5" w:rsidP="00376CD5">
            <w:pPr>
              <w:spacing w:after="160"/>
              <w:contextualSpacing/>
              <w:rPr>
                <w:b w:val="0"/>
                <w:color w:val="auto"/>
              </w:rPr>
            </w:pPr>
            <w:r w:rsidRPr="00376CD5">
              <w:rPr>
                <w:b w:val="0"/>
                <w:color w:val="auto"/>
              </w:rPr>
              <w:t>Overall status</w:t>
            </w:r>
          </w:p>
        </w:tc>
        <w:tc>
          <w:tcPr>
            <w:tcW w:w="2093" w:type="dxa"/>
            <w:tcBorders>
              <w:bottom w:val="single" w:sz="4" w:space="0" w:color="auto"/>
            </w:tcBorders>
            <w:shd w:val="clear" w:color="auto" w:fill="auto"/>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376CD5">
              <w:rPr>
                <w:color w:val="auto"/>
              </w:rPr>
              <w:t>+14</w:t>
            </w:r>
          </w:p>
        </w:tc>
        <w:tc>
          <w:tcPr>
            <w:tcW w:w="1980" w:type="dxa"/>
            <w:tcBorders>
              <w:bottom w:val="single" w:sz="4" w:space="0" w:color="auto"/>
            </w:tcBorders>
            <w:shd w:val="clear" w:color="auto" w:fill="auto"/>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376CD5">
              <w:rPr>
                <w:color w:val="auto"/>
              </w:rPr>
              <w:t>+13</w:t>
            </w:r>
          </w:p>
        </w:tc>
        <w:tc>
          <w:tcPr>
            <w:tcW w:w="2587" w:type="dxa"/>
            <w:tcBorders>
              <w:bottom w:val="single" w:sz="4" w:space="0" w:color="auto"/>
              <w:right w:val="single" w:sz="4" w:space="0" w:color="auto"/>
            </w:tcBorders>
            <w:shd w:val="clear" w:color="auto" w:fill="auto"/>
            <w:noWrap/>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376CD5">
              <w:rPr>
                <w:color w:val="auto"/>
              </w:rPr>
              <w:t>+1</w:t>
            </w:r>
          </w:p>
        </w:tc>
      </w:tr>
    </w:tbl>
    <w:p w:rsidR="00376CD5" w:rsidRPr="00376CD5" w:rsidRDefault="00376CD5" w:rsidP="00376CD5">
      <w:pPr>
        <w:spacing w:line="240" w:lineRule="auto"/>
        <w:contextualSpacing/>
        <w:rPr>
          <w:rFonts w:eastAsia="Calibri" w:cs="Times New Roman"/>
          <w:sz w:val="24"/>
          <w:szCs w:val="24"/>
        </w:rPr>
      </w:pPr>
    </w:p>
    <w:p w:rsidR="00376CD5" w:rsidRPr="00376CD5" w:rsidRDefault="00845A6D" w:rsidP="00376CD5">
      <w:pPr>
        <w:spacing w:line="240" w:lineRule="auto"/>
        <w:contextualSpacing/>
        <w:rPr>
          <w:rFonts w:eastAsia="Calibri" w:cs="Times New Roman"/>
          <w:szCs w:val="24"/>
        </w:rPr>
      </w:pPr>
      <w:r>
        <w:rPr>
          <w:rFonts w:eastAsia="Calibri" w:cs="Times New Roman"/>
          <w:szCs w:val="24"/>
        </w:rPr>
        <w:t>As seen in f</w:t>
      </w:r>
      <w:r w:rsidR="00376CD5" w:rsidRPr="00376CD5">
        <w:rPr>
          <w:rFonts w:eastAsia="Calibri" w:cs="Times New Roman"/>
          <w:szCs w:val="24"/>
        </w:rPr>
        <w:t xml:space="preserve">igure </w:t>
      </w:r>
      <w:r w:rsidR="001455CC">
        <w:rPr>
          <w:rFonts w:eastAsia="Calibri" w:cs="Times New Roman"/>
          <w:szCs w:val="24"/>
        </w:rPr>
        <w:t>5</w:t>
      </w:r>
      <w:r w:rsidR="00376CD5" w:rsidRPr="00376CD5">
        <w:rPr>
          <w:rFonts w:eastAsia="Calibri" w:cs="Times New Roman"/>
          <w:szCs w:val="24"/>
        </w:rPr>
        <w:t>, 44.9 percent of respondents report that they expect an increase in their gross revenue</w:t>
      </w:r>
      <w:r w:rsidR="00C04861">
        <w:rPr>
          <w:rFonts w:eastAsia="Calibri" w:cs="Times New Roman"/>
          <w:szCs w:val="24"/>
        </w:rPr>
        <w:t xml:space="preserve">/ sales over the next 12 months. This is followed by </w:t>
      </w:r>
      <w:r w:rsidR="00376CD5" w:rsidRPr="00376CD5">
        <w:rPr>
          <w:rFonts w:eastAsia="Calibri" w:cs="Times New Roman"/>
          <w:szCs w:val="24"/>
        </w:rPr>
        <w:t>40.1 percent expect</w:t>
      </w:r>
      <w:r w:rsidR="00C04861">
        <w:rPr>
          <w:rFonts w:eastAsia="Calibri" w:cs="Times New Roman"/>
          <w:szCs w:val="24"/>
        </w:rPr>
        <w:t>ing</w:t>
      </w:r>
      <w:r w:rsidR="00376CD5" w:rsidRPr="00376CD5">
        <w:rPr>
          <w:rFonts w:eastAsia="Calibri" w:cs="Times New Roman"/>
          <w:szCs w:val="24"/>
        </w:rPr>
        <w:t xml:space="preserve"> an increase</w:t>
      </w:r>
      <w:r w:rsidR="0034018E">
        <w:rPr>
          <w:rFonts w:eastAsia="Calibri" w:cs="Times New Roman"/>
          <w:szCs w:val="24"/>
        </w:rPr>
        <w:t xml:space="preserve"> in</w:t>
      </w:r>
      <w:r w:rsidR="00376CD5" w:rsidRPr="00376CD5">
        <w:rPr>
          <w:rFonts w:eastAsia="Calibri" w:cs="Times New Roman"/>
          <w:szCs w:val="24"/>
        </w:rPr>
        <w:t xml:space="preserve"> overall status, 38.4 percent expect</w:t>
      </w:r>
      <w:r w:rsidR="00C04861">
        <w:rPr>
          <w:rFonts w:eastAsia="Calibri" w:cs="Times New Roman"/>
          <w:szCs w:val="24"/>
        </w:rPr>
        <w:t>ing</w:t>
      </w:r>
      <w:r w:rsidR="00376CD5" w:rsidRPr="00376CD5">
        <w:rPr>
          <w:rFonts w:eastAsia="Calibri" w:cs="Times New Roman"/>
          <w:szCs w:val="24"/>
        </w:rPr>
        <w:t xml:space="preserve"> an increase in profitability, 32.9 percent expect</w:t>
      </w:r>
      <w:r w:rsidR="00C04861">
        <w:rPr>
          <w:rFonts w:eastAsia="Calibri" w:cs="Times New Roman"/>
          <w:szCs w:val="24"/>
        </w:rPr>
        <w:t>ing</w:t>
      </w:r>
      <w:r w:rsidR="00376CD5" w:rsidRPr="00376CD5">
        <w:rPr>
          <w:rFonts w:eastAsia="Calibri" w:cs="Times New Roman"/>
          <w:szCs w:val="24"/>
        </w:rPr>
        <w:t xml:space="preserve"> an increase in total number of employees, and 31.0 percent expect</w:t>
      </w:r>
      <w:r w:rsidR="00C04861">
        <w:rPr>
          <w:rFonts w:eastAsia="Calibri" w:cs="Times New Roman"/>
          <w:szCs w:val="24"/>
        </w:rPr>
        <w:t>ing</w:t>
      </w:r>
      <w:r w:rsidR="00376CD5" w:rsidRPr="00376CD5">
        <w:rPr>
          <w:rFonts w:eastAsia="Calibri" w:cs="Times New Roman"/>
          <w:szCs w:val="24"/>
        </w:rPr>
        <w:t xml:space="preserve"> an increase in capital investment. </w:t>
      </w:r>
      <w:r w:rsidR="00C04861">
        <w:rPr>
          <w:rFonts w:eastAsia="Calibri" w:cs="Times New Roman"/>
          <w:szCs w:val="24"/>
        </w:rPr>
        <w:t>T</w:t>
      </w:r>
      <w:r w:rsidR="00376CD5" w:rsidRPr="00376CD5">
        <w:rPr>
          <w:rFonts w:eastAsia="Calibri" w:cs="Times New Roman"/>
          <w:szCs w:val="24"/>
        </w:rPr>
        <w:t xml:space="preserve">he majority of all respondents report that they expect capital investment and the total number of employees employed by their organization to remain the same (respectively, 53.5 percent and 53.9 percent). </w:t>
      </w:r>
    </w:p>
    <w:p w:rsidR="00376CD5" w:rsidRPr="00376CD5" w:rsidRDefault="00376CD5" w:rsidP="00376CD5">
      <w:pPr>
        <w:spacing w:line="240" w:lineRule="auto"/>
        <w:contextualSpacing/>
        <w:rPr>
          <w:rFonts w:eastAsia="Calibri" w:cs="Times New Roman"/>
          <w:sz w:val="24"/>
          <w:szCs w:val="24"/>
        </w:rPr>
      </w:pPr>
    </w:p>
    <w:p w:rsidR="00376CD5" w:rsidRPr="00376CD5" w:rsidRDefault="007A16BC" w:rsidP="00376CD5">
      <w:pPr>
        <w:spacing w:line="240" w:lineRule="auto"/>
        <w:contextualSpacing/>
        <w:rPr>
          <w:rFonts w:eastAsia="Calibri" w:cs="Times New Roman"/>
          <w:sz w:val="24"/>
          <w:szCs w:val="24"/>
        </w:rPr>
      </w:pPr>
      <w:r>
        <w:rPr>
          <w:noProof/>
        </w:rPr>
        <w:drawing>
          <wp:inline distT="0" distB="0" distL="0" distR="0" wp14:anchorId="7F5DD12E" wp14:editId="19FE08F6">
            <wp:extent cx="5895975" cy="3286125"/>
            <wp:effectExtent l="0" t="0" r="9525"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76CD5" w:rsidRPr="00376CD5" w:rsidRDefault="00376CD5" w:rsidP="00376CD5">
      <w:pPr>
        <w:spacing w:line="240" w:lineRule="auto"/>
        <w:contextualSpacing/>
        <w:jc w:val="center"/>
        <w:rPr>
          <w:rFonts w:eastAsia="Calibri" w:cs="Times New Roman"/>
          <w:sz w:val="24"/>
          <w:szCs w:val="24"/>
        </w:rPr>
      </w:pPr>
      <w:r w:rsidRPr="00376CD5">
        <w:rPr>
          <w:rFonts w:eastAsia="Calibri" w:cs="Times New Roman"/>
          <w:b/>
          <w:sz w:val="24"/>
          <w:szCs w:val="24"/>
        </w:rPr>
        <w:lastRenderedPageBreak/>
        <w:t>Biggest Challenges Facing Sangamon County Employers</w:t>
      </w:r>
    </w:p>
    <w:p w:rsidR="00376CD5" w:rsidRPr="00376CD5" w:rsidRDefault="00376CD5" w:rsidP="00376CD5">
      <w:pPr>
        <w:spacing w:line="240" w:lineRule="auto"/>
        <w:contextualSpacing/>
        <w:rPr>
          <w:rFonts w:eastAsia="Calibri" w:cs="Times New Roman"/>
          <w:sz w:val="24"/>
          <w:szCs w:val="24"/>
        </w:rPr>
      </w:pPr>
    </w:p>
    <w:p w:rsidR="00376CD5" w:rsidRPr="00376CD5" w:rsidRDefault="00376CD5" w:rsidP="00376CD5">
      <w:pPr>
        <w:spacing w:line="240" w:lineRule="auto"/>
        <w:contextualSpacing/>
        <w:rPr>
          <w:rFonts w:eastAsia="Calibri" w:cs="Times New Roman"/>
          <w:szCs w:val="24"/>
        </w:rPr>
      </w:pPr>
      <w:r w:rsidRPr="00376CD5">
        <w:rPr>
          <w:rFonts w:eastAsia="Calibri" w:cs="Times New Roman"/>
          <w:szCs w:val="24"/>
        </w:rPr>
        <w:t xml:space="preserve">Survey respondents were asked to identify the three biggest challenges for their business/ firm/ organization over the next 12 months from a list of pre-identified challenges.  As seen in Table </w:t>
      </w:r>
      <w:r w:rsidR="00C04861">
        <w:rPr>
          <w:rFonts w:eastAsia="Calibri" w:cs="Times New Roman"/>
          <w:szCs w:val="24"/>
        </w:rPr>
        <w:t>6</w:t>
      </w:r>
      <w:r w:rsidRPr="00376CD5">
        <w:rPr>
          <w:rFonts w:eastAsia="Calibri" w:cs="Times New Roman"/>
          <w:szCs w:val="24"/>
        </w:rPr>
        <w:t>,</w:t>
      </w:r>
      <w:r w:rsidR="005935A5">
        <w:rPr>
          <w:rFonts w:eastAsia="Calibri" w:cs="Times New Roman"/>
          <w:szCs w:val="24"/>
        </w:rPr>
        <w:t xml:space="preserve"> </w:t>
      </w:r>
      <w:r w:rsidRPr="00376CD5">
        <w:rPr>
          <w:rFonts w:eastAsia="Calibri" w:cs="Times New Roman"/>
          <w:szCs w:val="24"/>
        </w:rPr>
        <w:t>government regulations and taxation weigh the heaviest on the minds of local area employers</w:t>
      </w:r>
      <w:r w:rsidR="0034018E">
        <w:rPr>
          <w:rFonts w:eastAsia="Calibri" w:cs="Times New Roman"/>
          <w:szCs w:val="24"/>
        </w:rPr>
        <w:t xml:space="preserve"> (which is consistent with previous results)</w:t>
      </w:r>
      <w:r w:rsidRPr="00376CD5">
        <w:rPr>
          <w:rFonts w:eastAsia="Calibri" w:cs="Times New Roman"/>
          <w:szCs w:val="24"/>
        </w:rPr>
        <w:t xml:space="preserve">.  Forty-seven percent of respondents report that </w:t>
      </w:r>
      <w:r w:rsidR="005935A5">
        <w:rPr>
          <w:rFonts w:eastAsia="Calibri" w:cs="Times New Roman"/>
          <w:szCs w:val="24"/>
        </w:rPr>
        <w:t xml:space="preserve">government regulations and taxation </w:t>
      </w:r>
      <w:r w:rsidRPr="00376CD5">
        <w:rPr>
          <w:rFonts w:eastAsia="Calibri" w:cs="Times New Roman"/>
          <w:szCs w:val="24"/>
        </w:rPr>
        <w:t xml:space="preserve">is going to be one of the biggest challenges facing them in the next 12 months. </w:t>
      </w:r>
      <w:r w:rsidR="005935A5">
        <w:rPr>
          <w:rFonts w:eastAsia="Calibri" w:cs="Times New Roman"/>
          <w:szCs w:val="24"/>
        </w:rPr>
        <w:t xml:space="preserve"> </w:t>
      </w:r>
      <w:r w:rsidR="00864237">
        <w:rPr>
          <w:rFonts w:eastAsia="Calibri" w:cs="Times New Roman"/>
          <w:szCs w:val="24"/>
        </w:rPr>
        <w:t>One-third of e</w:t>
      </w:r>
      <w:r w:rsidR="005935A5">
        <w:rPr>
          <w:rFonts w:eastAsia="Calibri" w:cs="Times New Roman"/>
          <w:szCs w:val="24"/>
        </w:rPr>
        <w:t xml:space="preserve">mployers are also concerned about providing </w:t>
      </w:r>
      <w:r w:rsidRPr="00376CD5">
        <w:rPr>
          <w:rFonts w:eastAsia="Calibri" w:cs="Times New Roman"/>
          <w:szCs w:val="24"/>
        </w:rPr>
        <w:t xml:space="preserve">healthcare for employees </w:t>
      </w:r>
      <w:r w:rsidR="00A9142E">
        <w:rPr>
          <w:rFonts w:eastAsia="Calibri" w:cs="Times New Roman"/>
          <w:szCs w:val="24"/>
        </w:rPr>
        <w:t>(</w:t>
      </w:r>
      <w:r w:rsidRPr="00376CD5">
        <w:rPr>
          <w:rFonts w:eastAsia="Calibri" w:cs="Times New Roman"/>
          <w:szCs w:val="24"/>
        </w:rPr>
        <w:t>including the implementation of the Affordable Care Act</w:t>
      </w:r>
      <w:r w:rsidR="00864237">
        <w:rPr>
          <w:rFonts w:eastAsia="Calibri" w:cs="Times New Roman"/>
          <w:szCs w:val="24"/>
        </w:rPr>
        <w:t>)</w:t>
      </w:r>
      <w:r w:rsidRPr="00376CD5">
        <w:rPr>
          <w:rFonts w:eastAsia="Calibri" w:cs="Times New Roman"/>
          <w:szCs w:val="24"/>
        </w:rPr>
        <w:t xml:space="preserve"> with 33.3 percent of respondents citing </w:t>
      </w:r>
      <w:r w:rsidR="003B1452">
        <w:rPr>
          <w:rFonts w:eastAsia="Calibri" w:cs="Times New Roman"/>
          <w:szCs w:val="24"/>
        </w:rPr>
        <w:t xml:space="preserve">this </w:t>
      </w:r>
      <w:r w:rsidRPr="00376CD5">
        <w:rPr>
          <w:rFonts w:eastAsia="Calibri" w:cs="Times New Roman"/>
          <w:szCs w:val="24"/>
        </w:rPr>
        <w:t>as one of the biggest challenges for their business/ firm/ organization.</w:t>
      </w:r>
      <w:r w:rsidR="0034018E">
        <w:rPr>
          <w:rStyle w:val="FootnoteReference"/>
          <w:rFonts w:eastAsia="Calibri" w:cs="Times New Roman"/>
          <w:szCs w:val="24"/>
        </w:rPr>
        <w:footnoteReference w:id="8"/>
      </w:r>
      <w:r w:rsidR="006C08D8">
        <w:rPr>
          <w:rFonts w:eastAsia="Calibri" w:cs="Times New Roman"/>
          <w:szCs w:val="24"/>
        </w:rPr>
        <w:t xml:space="preserve"> </w:t>
      </w:r>
      <w:r w:rsidR="003B1452">
        <w:rPr>
          <w:rFonts w:eastAsia="Calibri" w:cs="Times New Roman"/>
          <w:szCs w:val="24"/>
        </w:rPr>
        <w:t xml:space="preserve">State government finances also received 33.3 percent of respondents reporting that it </w:t>
      </w:r>
      <w:r w:rsidR="00845A6D">
        <w:rPr>
          <w:rFonts w:eastAsia="Calibri" w:cs="Times New Roman"/>
          <w:szCs w:val="24"/>
        </w:rPr>
        <w:t>will</w:t>
      </w:r>
      <w:r w:rsidR="003B1452">
        <w:rPr>
          <w:rFonts w:eastAsia="Calibri" w:cs="Times New Roman"/>
          <w:szCs w:val="24"/>
        </w:rPr>
        <w:t xml:space="preserve"> be one of their biggest challenges.</w:t>
      </w:r>
    </w:p>
    <w:p w:rsidR="00376CD5" w:rsidRPr="00376CD5" w:rsidRDefault="00376CD5" w:rsidP="00376CD5">
      <w:pPr>
        <w:spacing w:line="240" w:lineRule="auto"/>
        <w:contextualSpacing/>
        <w:rPr>
          <w:rFonts w:eastAsia="Calibri" w:cs="Times New Roman"/>
          <w:szCs w:val="24"/>
        </w:rPr>
      </w:pPr>
    </w:p>
    <w:tbl>
      <w:tblPr>
        <w:tblStyle w:val="LightShading-Accent41"/>
        <w:tblW w:w="9576" w:type="dxa"/>
        <w:tblInd w:w="108" w:type="dxa"/>
        <w:tblLook w:val="04A0" w:firstRow="1" w:lastRow="0" w:firstColumn="1" w:lastColumn="0" w:noHBand="0" w:noVBand="1"/>
      </w:tblPr>
      <w:tblGrid>
        <w:gridCol w:w="3192"/>
        <w:gridCol w:w="1236"/>
        <w:gridCol w:w="1956"/>
        <w:gridCol w:w="3192"/>
      </w:tblGrid>
      <w:tr w:rsidR="005935A5" w:rsidRPr="00376CD5" w:rsidTr="005935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4"/>
            <w:tcBorders>
              <w:top w:val="single" w:sz="4" w:space="0" w:color="auto"/>
              <w:left w:val="single" w:sz="4" w:space="0" w:color="auto"/>
              <w:right w:val="single" w:sz="4" w:space="0" w:color="auto"/>
            </w:tcBorders>
          </w:tcPr>
          <w:p w:rsidR="00376CD5" w:rsidRPr="00376CD5" w:rsidRDefault="00C04861" w:rsidP="00C04861">
            <w:pPr>
              <w:spacing w:after="160"/>
              <w:contextualSpacing/>
              <w:rPr>
                <w:rFonts w:eastAsia="Calibri"/>
                <w:color w:val="auto"/>
              </w:rPr>
            </w:pPr>
            <w:r>
              <w:rPr>
                <w:rFonts w:eastAsia="Calibri"/>
                <w:color w:val="auto"/>
              </w:rPr>
              <w:t>Table 6.</w:t>
            </w:r>
            <w:r w:rsidR="00376CD5" w:rsidRPr="00376CD5">
              <w:rPr>
                <w:rFonts w:eastAsia="Calibri"/>
                <w:color w:val="auto"/>
              </w:rPr>
              <w:t xml:space="preserve">  Biggest Challenges Facing Sangamon County Employers</w:t>
            </w:r>
          </w:p>
        </w:tc>
      </w:tr>
      <w:tr w:rsidR="005935A5" w:rsidRPr="00376CD5" w:rsidTr="00C87E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left w:val="single" w:sz="4" w:space="0" w:color="auto"/>
            </w:tcBorders>
            <w:shd w:val="clear" w:color="auto" w:fill="DDCAFA"/>
          </w:tcPr>
          <w:p w:rsidR="00376CD5" w:rsidRPr="00376CD5" w:rsidRDefault="00376CD5" w:rsidP="00376CD5">
            <w:pPr>
              <w:spacing w:after="160"/>
              <w:contextualSpacing/>
              <w:rPr>
                <w:rFonts w:eastAsia="Calibri"/>
                <w:b w:val="0"/>
                <w:color w:val="auto"/>
              </w:rPr>
            </w:pPr>
          </w:p>
        </w:tc>
        <w:tc>
          <w:tcPr>
            <w:tcW w:w="3192" w:type="dxa"/>
            <w:gridSpan w:val="2"/>
            <w:shd w:val="clear" w:color="auto" w:fill="DDCAFA"/>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b/>
                <w:color w:val="auto"/>
              </w:rPr>
            </w:pPr>
            <w:r w:rsidRPr="00376CD5">
              <w:rPr>
                <w:rFonts w:eastAsia="Calibri"/>
                <w:b/>
                <w:color w:val="auto"/>
              </w:rPr>
              <w:tab/>
            </w:r>
            <w:r w:rsidRPr="00376CD5">
              <w:rPr>
                <w:rFonts w:eastAsia="Calibri"/>
                <w:b/>
                <w:color w:val="auto"/>
              </w:rPr>
              <w:tab/>
              <w:t>Frequency</w:t>
            </w:r>
          </w:p>
        </w:tc>
        <w:tc>
          <w:tcPr>
            <w:tcW w:w="3192" w:type="dxa"/>
            <w:tcBorders>
              <w:right w:val="single" w:sz="4" w:space="0" w:color="auto"/>
            </w:tcBorders>
            <w:shd w:val="clear" w:color="auto" w:fill="DDCAFA"/>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b/>
                <w:color w:val="auto"/>
              </w:rPr>
            </w:pPr>
            <w:r w:rsidRPr="00376CD5">
              <w:rPr>
                <w:rFonts w:eastAsia="Calibri"/>
                <w:b/>
                <w:color w:val="auto"/>
              </w:rPr>
              <w:t>Valid Percent</w:t>
            </w:r>
          </w:p>
        </w:tc>
      </w:tr>
      <w:tr w:rsidR="005935A5" w:rsidRPr="00376CD5" w:rsidTr="005935A5">
        <w:tc>
          <w:tcPr>
            <w:cnfStyle w:val="001000000000" w:firstRow="0" w:lastRow="0" w:firstColumn="1" w:lastColumn="0" w:oddVBand="0" w:evenVBand="0" w:oddHBand="0" w:evenHBand="0" w:firstRowFirstColumn="0" w:firstRowLastColumn="0" w:lastRowFirstColumn="0" w:lastRowLastColumn="0"/>
            <w:tcW w:w="4428" w:type="dxa"/>
            <w:gridSpan w:val="2"/>
            <w:tcBorders>
              <w:left w:val="single" w:sz="4" w:space="0" w:color="auto"/>
            </w:tcBorders>
          </w:tcPr>
          <w:p w:rsidR="00376CD5" w:rsidRPr="00376CD5" w:rsidRDefault="00376CD5" w:rsidP="00376CD5">
            <w:pPr>
              <w:spacing w:after="160"/>
              <w:contextualSpacing/>
              <w:rPr>
                <w:rFonts w:eastAsia="Calibri"/>
                <w:b w:val="0"/>
                <w:color w:val="auto"/>
              </w:rPr>
            </w:pPr>
            <w:r w:rsidRPr="00376CD5">
              <w:rPr>
                <w:rFonts w:eastAsia="Calibri"/>
                <w:b w:val="0"/>
                <w:color w:val="auto"/>
              </w:rPr>
              <w:t>Government regulations and taxation</w:t>
            </w:r>
          </w:p>
        </w:tc>
        <w:tc>
          <w:tcPr>
            <w:tcW w:w="1956" w:type="dxa"/>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98</w:t>
            </w:r>
          </w:p>
        </w:tc>
        <w:tc>
          <w:tcPr>
            <w:tcW w:w="3192" w:type="dxa"/>
            <w:tcBorders>
              <w:right w:val="single" w:sz="4" w:space="0" w:color="auto"/>
            </w:tcBorders>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47.3%</w:t>
            </w:r>
          </w:p>
        </w:tc>
      </w:tr>
      <w:tr w:rsidR="005935A5" w:rsidRPr="00376CD5" w:rsidTr="00C87E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gridSpan w:val="2"/>
            <w:tcBorders>
              <w:left w:val="single" w:sz="4" w:space="0" w:color="auto"/>
            </w:tcBorders>
            <w:shd w:val="clear" w:color="auto" w:fill="DDCAFA"/>
          </w:tcPr>
          <w:p w:rsidR="00376CD5" w:rsidRPr="00376CD5" w:rsidRDefault="00376CD5" w:rsidP="00376CD5">
            <w:pPr>
              <w:spacing w:after="160"/>
              <w:contextualSpacing/>
              <w:rPr>
                <w:rFonts w:eastAsia="Calibri"/>
                <w:b w:val="0"/>
                <w:color w:val="auto"/>
              </w:rPr>
            </w:pPr>
            <w:r w:rsidRPr="00376CD5">
              <w:rPr>
                <w:rFonts w:eastAsia="Calibri"/>
                <w:b w:val="0"/>
                <w:color w:val="auto"/>
              </w:rPr>
              <w:t>Healthcare for employees (e.g., Affordable Care Act)</w:t>
            </w:r>
          </w:p>
        </w:tc>
        <w:tc>
          <w:tcPr>
            <w:tcW w:w="1956" w:type="dxa"/>
            <w:shd w:val="clear" w:color="auto" w:fill="DDCAFA"/>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69</w:t>
            </w:r>
          </w:p>
        </w:tc>
        <w:tc>
          <w:tcPr>
            <w:tcW w:w="3192" w:type="dxa"/>
            <w:tcBorders>
              <w:right w:val="single" w:sz="4" w:space="0" w:color="auto"/>
            </w:tcBorders>
            <w:shd w:val="clear" w:color="auto" w:fill="DDCAFA"/>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33.3%</w:t>
            </w:r>
          </w:p>
        </w:tc>
      </w:tr>
      <w:tr w:rsidR="005935A5" w:rsidRPr="00376CD5" w:rsidTr="005935A5">
        <w:trPr>
          <w:trHeight w:val="349"/>
        </w:trPr>
        <w:tc>
          <w:tcPr>
            <w:cnfStyle w:val="001000000000" w:firstRow="0" w:lastRow="0" w:firstColumn="1" w:lastColumn="0" w:oddVBand="0" w:evenVBand="0" w:oddHBand="0" w:evenHBand="0" w:firstRowFirstColumn="0" w:firstRowLastColumn="0" w:lastRowFirstColumn="0" w:lastRowLastColumn="0"/>
            <w:tcW w:w="4428" w:type="dxa"/>
            <w:gridSpan w:val="2"/>
            <w:tcBorders>
              <w:left w:val="single" w:sz="4" w:space="0" w:color="auto"/>
            </w:tcBorders>
          </w:tcPr>
          <w:p w:rsidR="00376CD5" w:rsidRPr="00376CD5" w:rsidRDefault="00376CD5" w:rsidP="00376CD5">
            <w:pPr>
              <w:spacing w:after="160"/>
              <w:contextualSpacing/>
              <w:rPr>
                <w:rFonts w:eastAsia="Calibri"/>
                <w:b w:val="0"/>
                <w:color w:val="auto"/>
              </w:rPr>
            </w:pPr>
            <w:r w:rsidRPr="00376CD5">
              <w:rPr>
                <w:rFonts w:eastAsia="Calibri"/>
                <w:b w:val="0"/>
                <w:color w:val="auto"/>
              </w:rPr>
              <w:t>State government finances</w:t>
            </w:r>
          </w:p>
        </w:tc>
        <w:tc>
          <w:tcPr>
            <w:tcW w:w="1956" w:type="dxa"/>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69</w:t>
            </w:r>
          </w:p>
        </w:tc>
        <w:tc>
          <w:tcPr>
            <w:tcW w:w="3192" w:type="dxa"/>
            <w:tcBorders>
              <w:right w:val="single" w:sz="4" w:space="0" w:color="auto"/>
            </w:tcBorders>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33.3%</w:t>
            </w:r>
          </w:p>
        </w:tc>
      </w:tr>
      <w:tr w:rsidR="005935A5" w:rsidRPr="00376CD5" w:rsidTr="00C87E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gridSpan w:val="2"/>
            <w:tcBorders>
              <w:left w:val="single" w:sz="4" w:space="0" w:color="auto"/>
            </w:tcBorders>
            <w:shd w:val="clear" w:color="auto" w:fill="DDCAFA"/>
          </w:tcPr>
          <w:p w:rsidR="00376CD5" w:rsidRPr="00376CD5" w:rsidRDefault="00376CD5" w:rsidP="00376CD5">
            <w:pPr>
              <w:spacing w:after="160"/>
              <w:contextualSpacing/>
              <w:rPr>
                <w:rFonts w:eastAsia="Calibri"/>
                <w:b w:val="0"/>
                <w:color w:val="auto"/>
              </w:rPr>
            </w:pPr>
            <w:r w:rsidRPr="00376CD5">
              <w:rPr>
                <w:rFonts w:eastAsia="Calibri"/>
                <w:b w:val="0"/>
                <w:color w:val="auto"/>
              </w:rPr>
              <w:t>Availability of skilled/ trained workers</w:t>
            </w:r>
          </w:p>
        </w:tc>
        <w:tc>
          <w:tcPr>
            <w:tcW w:w="1956" w:type="dxa"/>
            <w:shd w:val="clear" w:color="auto" w:fill="DDCAFA"/>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54</w:t>
            </w:r>
          </w:p>
        </w:tc>
        <w:tc>
          <w:tcPr>
            <w:tcW w:w="3192" w:type="dxa"/>
            <w:tcBorders>
              <w:right w:val="single" w:sz="4" w:space="0" w:color="auto"/>
            </w:tcBorders>
            <w:shd w:val="clear" w:color="auto" w:fill="DDCAFA"/>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26.1%</w:t>
            </w:r>
          </w:p>
        </w:tc>
      </w:tr>
      <w:tr w:rsidR="005935A5" w:rsidRPr="00376CD5" w:rsidTr="005935A5">
        <w:tc>
          <w:tcPr>
            <w:cnfStyle w:val="001000000000" w:firstRow="0" w:lastRow="0" w:firstColumn="1" w:lastColumn="0" w:oddVBand="0" w:evenVBand="0" w:oddHBand="0" w:evenHBand="0" w:firstRowFirstColumn="0" w:firstRowLastColumn="0" w:lastRowFirstColumn="0" w:lastRowLastColumn="0"/>
            <w:tcW w:w="4428" w:type="dxa"/>
            <w:gridSpan w:val="2"/>
            <w:tcBorders>
              <w:left w:val="single" w:sz="4" w:space="0" w:color="auto"/>
            </w:tcBorders>
          </w:tcPr>
          <w:p w:rsidR="00376CD5" w:rsidRPr="00376CD5" w:rsidRDefault="00376CD5" w:rsidP="00376CD5">
            <w:pPr>
              <w:spacing w:after="160"/>
              <w:contextualSpacing/>
              <w:rPr>
                <w:rFonts w:eastAsia="Calibri"/>
                <w:b w:val="0"/>
                <w:color w:val="auto"/>
              </w:rPr>
            </w:pPr>
            <w:r w:rsidRPr="00376CD5">
              <w:rPr>
                <w:rFonts w:eastAsia="Calibri"/>
                <w:b w:val="0"/>
                <w:color w:val="auto"/>
              </w:rPr>
              <w:t>Competition from local/ state/ national firms</w:t>
            </w:r>
          </w:p>
        </w:tc>
        <w:tc>
          <w:tcPr>
            <w:tcW w:w="1956" w:type="dxa"/>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51</w:t>
            </w:r>
          </w:p>
        </w:tc>
        <w:tc>
          <w:tcPr>
            <w:tcW w:w="3192" w:type="dxa"/>
            <w:tcBorders>
              <w:right w:val="single" w:sz="4" w:space="0" w:color="auto"/>
            </w:tcBorders>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24.6%</w:t>
            </w:r>
          </w:p>
        </w:tc>
      </w:tr>
      <w:tr w:rsidR="005935A5" w:rsidRPr="00376CD5" w:rsidTr="00C87E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gridSpan w:val="2"/>
            <w:tcBorders>
              <w:left w:val="single" w:sz="4" w:space="0" w:color="auto"/>
            </w:tcBorders>
            <w:shd w:val="clear" w:color="auto" w:fill="DDCAFA"/>
          </w:tcPr>
          <w:p w:rsidR="00376CD5" w:rsidRPr="00376CD5" w:rsidRDefault="00376CD5" w:rsidP="00376CD5">
            <w:pPr>
              <w:spacing w:after="160"/>
              <w:contextualSpacing/>
              <w:rPr>
                <w:rFonts w:eastAsia="Calibri"/>
                <w:b w:val="0"/>
                <w:color w:val="auto"/>
              </w:rPr>
            </w:pPr>
            <w:r w:rsidRPr="00376CD5">
              <w:rPr>
                <w:rFonts w:eastAsia="Calibri"/>
                <w:b w:val="0"/>
                <w:color w:val="auto"/>
              </w:rPr>
              <w:t>Employee (union and nonunion) compensation and benefits  (not healthcare)</w:t>
            </w:r>
          </w:p>
        </w:tc>
        <w:tc>
          <w:tcPr>
            <w:tcW w:w="1956" w:type="dxa"/>
            <w:shd w:val="clear" w:color="auto" w:fill="DDCAFA"/>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50</w:t>
            </w:r>
          </w:p>
        </w:tc>
        <w:tc>
          <w:tcPr>
            <w:tcW w:w="3192" w:type="dxa"/>
            <w:tcBorders>
              <w:right w:val="single" w:sz="4" w:space="0" w:color="auto"/>
            </w:tcBorders>
            <w:shd w:val="clear" w:color="auto" w:fill="DDCAFA"/>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24.2%</w:t>
            </w:r>
          </w:p>
        </w:tc>
      </w:tr>
      <w:tr w:rsidR="005935A5" w:rsidRPr="00376CD5" w:rsidTr="005935A5">
        <w:tc>
          <w:tcPr>
            <w:cnfStyle w:val="001000000000" w:firstRow="0" w:lastRow="0" w:firstColumn="1" w:lastColumn="0" w:oddVBand="0" w:evenVBand="0" w:oddHBand="0" w:evenHBand="0" w:firstRowFirstColumn="0" w:firstRowLastColumn="0" w:lastRowFirstColumn="0" w:lastRowLastColumn="0"/>
            <w:tcW w:w="4428" w:type="dxa"/>
            <w:gridSpan w:val="2"/>
            <w:tcBorders>
              <w:left w:val="single" w:sz="4" w:space="0" w:color="auto"/>
            </w:tcBorders>
          </w:tcPr>
          <w:p w:rsidR="00376CD5" w:rsidRPr="00376CD5" w:rsidRDefault="00376CD5" w:rsidP="00376CD5">
            <w:pPr>
              <w:spacing w:after="160"/>
              <w:contextualSpacing/>
              <w:rPr>
                <w:rFonts w:eastAsia="Calibri"/>
                <w:b w:val="0"/>
                <w:color w:val="auto"/>
              </w:rPr>
            </w:pPr>
            <w:r w:rsidRPr="00376CD5">
              <w:rPr>
                <w:rFonts w:eastAsia="Calibri"/>
                <w:b w:val="0"/>
                <w:color w:val="auto"/>
              </w:rPr>
              <w:t>Consumer confidence/ spending</w:t>
            </w:r>
          </w:p>
        </w:tc>
        <w:tc>
          <w:tcPr>
            <w:tcW w:w="1956" w:type="dxa"/>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47</w:t>
            </w:r>
          </w:p>
        </w:tc>
        <w:tc>
          <w:tcPr>
            <w:tcW w:w="3192" w:type="dxa"/>
            <w:tcBorders>
              <w:right w:val="single" w:sz="4" w:space="0" w:color="auto"/>
            </w:tcBorders>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22.7%</w:t>
            </w:r>
          </w:p>
        </w:tc>
      </w:tr>
      <w:tr w:rsidR="005935A5" w:rsidRPr="00376CD5" w:rsidTr="00C87E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gridSpan w:val="2"/>
            <w:tcBorders>
              <w:left w:val="single" w:sz="4" w:space="0" w:color="auto"/>
            </w:tcBorders>
            <w:shd w:val="clear" w:color="auto" w:fill="DDCAFA"/>
          </w:tcPr>
          <w:p w:rsidR="00376CD5" w:rsidRPr="00376CD5" w:rsidRDefault="00376CD5" w:rsidP="00376CD5">
            <w:pPr>
              <w:spacing w:after="160"/>
              <w:contextualSpacing/>
              <w:rPr>
                <w:rFonts w:eastAsia="Calibri"/>
                <w:b w:val="0"/>
                <w:color w:val="auto"/>
              </w:rPr>
            </w:pPr>
            <w:r w:rsidRPr="00376CD5">
              <w:rPr>
                <w:rFonts w:eastAsia="Calibri"/>
                <w:b w:val="0"/>
                <w:color w:val="auto"/>
              </w:rPr>
              <w:t>Energy prices</w:t>
            </w:r>
          </w:p>
        </w:tc>
        <w:tc>
          <w:tcPr>
            <w:tcW w:w="1956" w:type="dxa"/>
            <w:shd w:val="clear" w:color="auto" w:fill="DDCAFA"/>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33</w:t>
            </w:r>
          </w:p>
        </w:tc>
        <w:tc>
          <w:tcPr>
            <w:tcW w:w="3192" w:type="dxa"/>
            <w:tcBorders>
              <w:right w:val="single" w:sz="4" w:space="0" w:color="auto"/>
            </w:tcBorders>
            <w:shd w:val="clear" w:color="auto" w:fill="DDCAFA"/>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15.9%</w:t>
            </w:r>
          </w:p>
        </w:tc>
      </w:tr>
      <w:tr w:rsidR="005935A5" w:rsidRPr="00376CD5" w:rsidTr="005935A5">
        <w:tc>
          <w:tcPr>
            <w:cnfStyle w:val="001000000000" w:firstRow="0" w:lastRow="0" w:firstColumn="1" w:lastColumn="0" w:oddVBand="0" w:evenVBand="0" w:oddHBand="0" w:evenHBand="0" w:firstRowFirstColumn="0" w:firstRowLastColumn="0" w:lastRowFirstColumn="0" w:lastRowLastColumn="0"/>
            <w:tcW w:w="4428" w:type="dxa"/>
            <w:gridSpan w:val="2"/>
            <w:tcBorders>
              <w:left w:val="single" w:sz="4" w:space="0" w:color="auto"/>
            </w:tcBorders>
          </w:tcPr>
          <w:p w:rsidR="00376CD5" w:rsidRPr="00376CD5" w:rsidRDefault="00376CD5" w:rsidP="00376CD5">
            <w:pPr>
              <w:spacing w:after="160"/>
              <w:contextualSpacing/>
              <w:rPr>
                <w:rFonts w:eastAsia="Calibri"/>
                <w:b w:val="0"/>
                <w:color w:val="auto"/>
              </w:rPr>
            </w:pPr>
            <w:r w:rsidRPr="00376CD5">
              <w:rPr>
                <w:rFonts w:eastAsia="Calibri"/>
                <w:b w:val="0"/>
                <w:color w:val="auto"/>
              </w:rPr>
              <w:t>Commodity prices</w:t>
            </w:r>
          </w:p>
        </w:tc>
        <w:tc>
          <w:tcPr>
            <w:tcW w:w="1956" w:type="dxa"/>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32</w:t>
            </w:r>
          </w:p>
        </w:tc>
        <w:tc>
          <w:tcPr>
            <w:tcW w:w="3192" w:type="dxa"/>
            <w:tcBorders>
              <w:right w:val="single" w:sz="4" w:space="0" w:color="auto"/>
            </w:tcBorders>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15.5%</w:t>
            </w:r>
          </w:p>
        </w:tc>
      </w:tr>
      <w:tr w:rsidR="005935A5" w:rsidRPr="00376CD5" w:rsidTr="00C87E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gridSpan w:val="2"/>
            <w:tcBorders>
              <w:left w:val="single" w:sz="4" w:space="0" w:color="auto"/>
            </w:tcBorders>
            <w:shd w:val="clear" w:color="auto" w:fill="DDCAFA"/>
          </w:tcPr>
          <w:p w:rsidR="00376CD5" w:rsidRPr="00376CD5" w:rsidRDefault="00376CD5" w:rsidP="00376CD5">
            <w:pPr>
              <w:spacing w:after="160"/>
              <w:contextualSpacing/>
              <w:rPr>
                <w:rFonts w:eastAsia="Calibri"/>
                <w:b w:val="0"/>
                <w:color w:val="auto"/>
              </w:rPr>
            </w:pPr>
            <w:r w:rsidRPr="00376CD5">
              <w:rPr>
                <w:rFonts w:eastAsia="Calibri"/>
                <w:b w:val="0"/>
                <w:color w:val="auto"/>
              </w:rPr>
              <w:t>Inflation</w:t>
            </w:r>
          </w:p>
        </w:tc>
        <w:tc>
          <w:tcPr>
            <w:tcW w:w="1956" w:type="dxa"/>
            <w:shd w:val="clear" w:color="auto" w:fill="DDCAFA"/>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27</w:t>
            </w:r>
          </w:p>
        </w:tc>
        <w:tc>
          <w:tcPr>
            <w:tcW w:w="3192" w:type="dxa"/>
            <w:tcBorders>
              <w:right w:val="single" w:sz="4" w:space="0" w:color="auto"/>
            </w:tcBorders>
            <w:shd w:val="clear" w:color="auto" w:fill="DDCAFA"/>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13.0%</w:t>
            </w:r>
          </w:p>
        </w:tc>
      </w:tr>
      <w:tr w:rsidR="005935A5" w:rsidRPr="00376CD5" w:rsidTr="005935A5">
        <w:tc>
          <w:tcPr>
            <w:cnfStyle w:val="001000000000" w:firstRow="0" w:lastRow="0" w:firstColumn="1" w:lastColumn="0" w:oddVBand="0" w:evenVBand="0" w:oddHBand="0" w:evenHBand="0" w:firstRowFirstColumn="0" w:firstRowLastColumn="0" w:lastRowFirstColumn="0" w:lastRowLastColumn="0"/>
            <w:tcW w:w="4428" w:type="dxa"/>
            <w:gridSpan w:val="2"/>
            <w:tcBorders>
              <w:left w:val="single" w:sz="4" w:space="0" w:color="auto"/>
            </w:tcBorders>
          </w:tcPr>
          <w:p w:rsidR="00376CD5" w:rsidRPr="00376CD5" w:rsidRDefault="00376CD5" w:rsidP="00376CD5">
            <w:pPr>
              <w:spacing w:after="160"/>
              <w:contextualSpacing/>
              <w:rPr>
                <w:rFonts w:eastAsia="Calibri"/>
                <w:b w:val="0"/>
                <w:color w:val="auto"/>
              </w:rPr>
            </w:pPr>
            <w:r w:rsidRPr="00376CD5">
              <w:rPr>
                <w:rFonts w:eastAsia="Calibri"/>
                <w:b w:val="0"/>
                <w:color w:val="auto"/>
              </w:rPr>
              <w:t>Interest rates</w:t>
            </w:r>
          </w:p>
        </w:tc>
        <w:tc>
          <w:tcPr>
            <w:tcW w:w="1956" w:type="dxa"/>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12</w:t>
            </w:r>
          </w:p>
        </w:tc>
        <w:tc>
          <w:tcPr>
            <w:tcW w:w="3192" w:type="dxa"/>
            <w:tcBorders>
              <w:right w:val="single" w:sz="4" w:space="0" w:color="auto"/>
            </w:tcBorders>
          </w:tcPr>
          <w:p w:rsidR="00376CD5" w:rsidRPr="00376CD5" w:rsidRDefault="00376CD5" w:rsidP="00376CD5">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5.8%</w:t>
            </w:r>
          </w:p>
        </w:tc>
      </w:tr>
      <w:tr w:rsidR="005935A5" w:rsidRPr="00376CD5" w:rsidTr="00C87E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gridSpan w:val="2"/>
            <w:tcBorders>
              <w:left w:val="single" w:sz="4" w:space="0" w:color="auto"/>
              <w:bottom w:val="single" w:sz="4" w:space="0" w:color="auto"/>
            </w:tcBorders>
            <w:shd w:val="clear" w:color="auto" w:fill="DDCAFA"/>
          </w:tcPr>
          <w:p w:rsidR="00376CD5" w:rsidRPr="00376CD5" w:rsidRDefault="00376CD5" w:rsidP="00376CD5">
            <w:pPr>
              <w:spacing w:after="160"/>
              <w:contextualSpacing/>
              <w:rPr>
                <w:rFonts w:eastAsia="Calibri"/>
                <w:b w:val="0"/>
                <w:color w:val="auto"/>
              </w:rPr>
            </w:pPr>
            <w:r w:rsidRPr="00376CD5">
              <w:rPr>
                <w:rFonts w:eastAsia="Calibri"/>
                <w:b w:val="0"/>
                <w:color w:val="auto"/>
              </w:rPr>
              <w:t>Global competition</w:t>
            </w:r>
          </w:p>
        </w:tc>
        <w:tc>
          <w:tcPr>
            <w:tcW w:w="1956" w:type="dxa"/>
            <w:tcBorders>
              <w:bottom w:val="single" w:sz="4" w:space="0" w:color="auto"/>
            </w:tcBorders>
            <w:shd w:val="clear" w:color="auto" w:fill="DDCAFA"/>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8</w:t>
            </w:r>
          </w:p>
        </w:tc>
        <w:tc>
          <w:tcPr>
            <w:tcW w:w="3192" w:type="dxa"/>
            <w:tcBorders>
              <w:bottom w:val="single" w:sz="4" w:space="0" w:color="auto"/>
              <w:right w:val="single" w:sz="4" w:space="0" w:color="auto"/>
            </w:tcBorders>
            <w:shd w:val="clear" w:color="auto" w:fill="DDCAFA"/>
          </w:tcPr>
          <w:p w:rsidR="00376CD5" w:rsidRPr="00376CD5" w:rsidRDefault="00376CD5" w:rsidP="00376CD5">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3.9%</w:t>
            </w:r>
          </w:p>
        </w:tc>
      </w:tr>
    </w:tbl>
    <w:p w:rsidR="00376CD5" w:rsidRPr="00376CD5" w:rsidRDefault="00376CD5" w:rsidP="00376CD5">
      <w:pPr>
        <w:spacing w:line="240" w:lineRule="auto"/>
        <w:contextualSpacing/>
        <w:rPr>
          <w:rFonts w:eastAsia="Calibri" w:cs="Times New Roman"/>
          <w:sz w:val="24"/>
          <w:szCs w:val="24"/>
        </w:rPr>
      </w:pPr>
    </w:p>
    <w:p w:rsidR="006C08D8" w:rsidRDefault="006C08D8" w:rsidP="006C08D8">
      <w:pPr>
        <w:spacing w:line="240" w:lineRule="auto"/>
        <w:contextualSpacing/>
        <w:rPr>
          <w:rFonts w:eastAsia="Calibri" w:cs="Times New Roman"/>
          <w:szCs w:val="24"/>
        </w:rPr>
      </w:pPr>
      <w:r>
        <w:rPr>
          <w:rFonts w:eastAsia="Calibri" w:cs="Times New Roman"/>
          <w:szCs w:val="24"/>
        </w:rPr>
        <w:t>It is important to note that none of the challenges received a majority of respondents reporting that it was going to be one of the three biggest challenges facing their organization over the next twelve months</w:t>
      </w:r>
      <w:r>
        <w:rPr>
          <w:rFonts w:eastAsia="Calibri" w:cs="Times New Roman"/>
          <w:szCs w:val="24"/>
        </w:rPr>
        <w:t>. This may be due to differences in responses</w:t>
      </w:r>
      <w:r w:rsidRPr="00376CD5">
        <w:rPr>
          <w:rFonts w:eastAsia="Calibri" w:cs="Times New Roman"/>
          <w:szCs w:val="24"/>
        </w:rPr>
        <w:t xml:space="preserve"> among </w:t>
      </w:r>
      <w:r>
        <w:rPr>
          <w:rFonts w:eastAsia="Calibri" w:cs="Times New Roman"/>
          <w:szCs w:val="24"/>
        </w:rPr>
        <w:t xml:space="preserve">types of sectors (public, non-profit, or private). While all three types of employers report that government regulations and taxation, healthcare for employees, and state government finances are their biggest challenges, a lower percentage of non-profit and public sector respondents report facing any of these challenges (see </w:t>
      </w:r>
      <w:r w:rsidR="00845A6D">
        <w:rPr>
          <w:rFonts w:eastAsia="Calibri" w:cs="Times New Roman"/>
          <w:szCs w:val="24"/>
        </w:rPr>
        <w:t>f</w:t>
      </w:r>
      <w:r>
        <w:rPr>
          <w:rFonts w:eastAsia="Calibri" w:cs="Times New Roman"/>
          <w:szCs w:val="24"/>
        </w:rPr>
        <w:t>igure 6)</w:t>
      </w:r>
      <w:r>
        <w:rPr>
          <w:rStyle w:val="FootnoteReference"/>
          <w:rFonts w:eastAsia="Calibri" w:cs="Times New Roman"/>
          <w:szCs w:val="24"/>
        </w:rPr>
        <w:footnoteReference w:id="9"/>
      </w:r>
      <w:r>
        <w:rPr>
          <w:rFonts w:eastAsia="Calibri" w:cs="Times New Roman"/>
          <w:szCs w:val="24"/>
        </w:rPr>
        <w:t xml:space="preserve">. </w:t>
      </w:r>
      <w:r w:rsidRPr="00376CD5">
        <w:rPr>
          <w:rFonts w:eastAsia="Calibri" w:cs="Times New Roman"/>
          <w:szCs w:val="24"/>
        </w:rPr>
        <w:t xml:space="preserve"> In particular, </w:t>
      </w:r>
      <w:r>
        <w:rPr>
          <w:rFonts w:eastAsia="Calibri" w:cs="Times New Roman"/>
          <w:szCs w:val="24"/>
        </w:rPr>
        <w:t>a majority of private sector employers report that government regulations and taxation and healthcare for employees are going to be their biggest challenges over the next 12 months, compared to less than one-fourth of public sector and non-profit sector employers.</w:t>
      </w:r>
      <w:r>
        <w:rPr>
          <w:rFonts w:eastAsia="Calibri" w:cs="Times New Roman"/>
          <w:szCs w:val="24"/>
        </w:rPr>
        <w:t xml:space="preserve"> The only shared concern is with state government finances, in which 33.8 percent of public sector and 42.6 percent of private sector employers report that it is one of their biggest challenges.</w:t>
      </w:r>
    </w:p>
    <w:p w:rsidR="00781FBC" w:rsidRDefault="00781FBC">
      <w:pPr>
        <w:rPr>
          <w:rFonts w:eastAsia="Calibri" w:cs="Times New Roman"/>
          <w:szCs w:val="24"/>
        </w:rPr>
      </w:pPr>
      <w:r>
        <w:rPr>
          <w:rFonts w:eastAsia="Calibri" w:cs="Times New Roman"/>
          <w:szCs w:val="24"/>
        </w:rPr>
        <w:br w:type="page"/>
      </w:r>
    </w:p>
    <w:p w:rsidR="005935A5" w:rsidRDefault="00781FBC">
      <w:pPr>
        <w:rPr>
          <w:b/>
          <w:sz w:val="24"/>
          <w:szCs w:val="24"/>
        </w:rPr>
      </w:pPr>
      <w:r>
        <w:rPr>
          <w:noProof/>
        </w:rPr>
        <w:lastRenderedPageBreak/>
        <w:drawing>
          <wp:anchor distT="0" distB="0" distL="114300" distR="114300" simplePos="0" relativeHeight="251674624" behindDoc="0" locked="0" layoutInCell="1" allowOverlap="1">
            <wp:simplePos x="0" y="0"/>
            <wp:positionH relativeFrom="column">
              <wp:posOffset>0</wp:posOffset>
            </wp:positionH>
            <wp:positionV relativeFrom="paragraph">
              <wp:posOffset>4445</wp:posOffset>
            </wp:positionV>
            <wp:extent cx="5762625" cy="3467100"/>
            <wp:effectExtent l="0" t="0" r="9525" b="19050"/>
            <wp:wrapSquare wrapText="bothSides"/>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781FBC" w:rsidRDefault="00781FBC">
      <w:pPr>
        <w:rPr>
          <w:b/>
          <w:sz w:val="24"/>
          <w:szCs w:val="24"/>
        </w:rPr>
      </w:pPr>
      <w:r>
        <w:rPr>
          <w:b/>
          <w:sz w:val="24"/>
          <w:szCs w:val="24"/>
        </w:rPr>
        <w:br w:type="page"/>
      </w:r>
    </w:p>
    <w:p w:rsidR="002E4C02" w:rsidRPr="00376CD5" w:rsidRDefault="00271CE1" w:rsidP="00C74C17">
      <w:pPr>
        <w:spacing w:after="0"/>
        <w:jc w:val="center"/>
        <w:rPr>
          <w:b/>
          <w:sz w:val="24"/>
          <w:szCs w:val="24"/>
        </w:rPr>
      </w:pPr>
      <w:r w:rsidRPr="00376CD5">
        <w:rPr>
          <w:b/>
          <w:sz w:val="24"/>
          <w:szCs w:val="24"/>
        </w:rPr>
        <w:lastRenderedPageBreak/>
        <w:t>Topica</w:t>
      </w:r>
      <w:r w:rsidR="00C74C17" w:rsidRPr="00376CD5">
        <w:rPr>
          <w:b/>
          <w:sz w:val="24"/>
          <w:szCs w:val="24"/>
        </w:rPr>
        <w:t>l Section f</w:t>
      </w:r>
      <w:r w:rsidR="008D70C9">
        <w:rPr>
          <w:b/>
          <w:sz w:val="24"/>
          <w:szCs w:val="24"/>
        </w:rPr>
        <w:t xml:space="preserve">or the </w:t>
      </w:r>
      <w:proofErr w:type="gramStart"/>
      <w:r w:rsidR="000338E0" w:rsidRPr="00376CD5">
        <w:rPr>
          <w:b/>
          <w:sz w:val="24"/>
          <w:szCs w:val="24"/>
        </w:rPr>
        <w:t>Fall</w:t>
      </w:r>
      <w:proofErr w:type="gramEnd"/>
      <w:r w:rsidRPr="00376CD5">
        <w:rPr>
          <w:b/>
          <w:sz w:val="24"/>
          <w:szCs w:val="24"/>
        </w:rPr>
        <w:t xml:space="preserve"> 2014 Survey</w:t>
      </w:r>
    </w:p>
    <w:p w:rsidR="006E3978" w:rsidRPr="00376CD5" w:rsidRDefault="006E3978" w:rsidP="002E4C02">
      <w:pPr>
        <w:spacing w:after="0"/>
        <w:rPr>
          <w:sz w:val="24"/>
          <w:szCs w:val="24"/>
        </w:rPr>
      </w:pPr>
    </w:p>
    <w:p w:rsidR="000338E0" w:rsidRPr="00376CD5" w:rsidRDefault="006E3978" w:rsidP="002E4C02">
      <w:pPr>
        <w:spacing w:after="0"/>
        <w:rPr>
          <w:szCs w:val="24"/>
        </w:rPr>
      </w:pPr>
      <w:r w:rsidRPr="00376CD5">
        <w:rPr>
          <w:szCs w:val="24"/>
        </w:rPr>
        <w:t xml:space="preserve">The topical section for the </w:t>
      </w:r>
      <w:proofErr w:type="gramStart"/>
      <w:r w:rsidR="000338E0" w:rsidRPr="00376CD5">
        <w:rPr>
          <w:szCs w:val="24"/>
        </w:rPr>
        <w:t>Fall</w:t>
      </w:r>
      <w:proofErr w:type="gramEnd"/>
      <w:r w:rsidR="002E4C02" w:rsidRPr="00376CD5">
        <w:rPr>
          <w:szCs w:val="24"/>
        </w:rPr>
        <w:t xml:space="preserve"> 2014 Sangamon County Economic Outlook Survey</w:t>
      </w:r>
      <w:r w:rsidRPr="00376CD5">
        <w:rPr>
          <w:szCs w:val="24"/>
        </w:rPr>
        <w:t xml:space="preserve"> includes two unique sections: </w:t>
      </w:r>
      <w:r w:rsidR="000338E0" w:rsidRPr="00376CD5">
        <w:rPr>
          <w:szCs w:val="24"/>
        </w:rPr>
        <w:t>the assets and liabilities for conducting business in Sangamon County and the effect that the Illinois State Fair has on local businesses.</w:t>
      </w:r>
    </w:p>
    <w:p w:rsidR="000338E0" w:rsidRPr="00376CD5" w:rsidRDefault="000338E0" w:rsidP="002E4C02">
      <w:pPr>
        <w:spacing w:after="0"/>
        <w:rPr>
          <w:szCs w:val="24"/>
        </w:rPr>
      </w:pPr>
    </w:p>
    <w:p w:rsidR="002E4C02" w:rsidRPr="00376CD5" w:rsidRDefault="000338E0" w:rsidP="002E4C02">
      <w:pPr>
        <w:spacing w:after="0"/>
        <w:rPr>
          <w:i/>
          <w:szCs w:val="24"/>
        </w:rPr>
      </w:pPr>
      <w:r w:rsidRPr="00376CD5">
        <w:rPr>
          <w:i/>
          <w:szCs w:val="24"/>
        </w:rPr>
        <w:t>Assets and liabilities for doing business in Sangamon County</w:t>
      </w:r>
    </w:p>
    <w:p w:rsidR="00895A3D" w:rsidRPr="00376CD5" w:rsidRDefault="00895A3D" w:rsidP="00895A3D">
      <w:pPr>
        <w:spacing w:after="0"/>
        <w:rPr>
          <w:szCs w:val="24"/>
        </w:rPr>
      </w:pPr>
      <w:r w:rsidRPr="00376CD5">
        <w:rPr>
          <w:szCs w:val="24"/>
        </w:rPr>
        <w:t xml:space="preserve">The </w:t>
      </w:r>
      <w:proofErr w:type="gramStart"/>
      <w:r w:rsidRPr="00376CD5">
        <w:rPr>
          <w:szCs w:val="24"/>
        </w:rPr>
        <w:t>Fall</w:t>
      </w:r>
      <w:proofErr w:type="gramEnd"/>
      <w:r w:rsidRPr="00376CD5">
        <w:rPr>
          <w:szCs w:val="24"/>
        </w:rPr>
        <w:t xml:space="preserve"> 2014 Sangamon County Economic Outlook Survey includes a topical section examining the assets and liabilities for doing business in Sangamon County. Respondents were given 23 items and asked to report whether the item was a “big asset,” “small asset,” “neither asset nor liability,” “small liability,” or “big liability” for doing business in Sangamon County. </w:t>
      </w:r>
      <w:r w:rsidR="001455CC">
        <w:rPr>
          <w:szCs w:val="24"/>
        </w:rPr>
        <w:t>The scale ranges from 1 to 5, with “1” representing “big asset” and “5” representing “big liability. Table 7</w:t>
      </w:r>
      <w:r w:rsidRPr="00376CD5">
        <w:rPr>
          <w:szCs w:val="24"/>
        </w:rPr>
        <w:t xml:space="preserve"> presents the mean and standard deviation for responses to each item. Lower scores indicate more positive ratings. As seen in the table, respondents believe that “health care facilities and quality” is the greatest asset for doing business in Sangamon County while the “total state taxes on business” is the greatest liability. The other top asset in Sangamon County was “proximity to colleges/universities/technical schools.”  As seen in figure </w:t>
      </w:r>
      <w:r w:rsidR="001455CC">
        <w:rPr>
          <w:szCs w:val="24"/>
        </w:rPr>
        <w:t>7</w:t>
      </w:r>
      <w:r w:rsidRPr="00376CD5">
        <w:rPr>
          <w:szCs w:val="24"/>
        </w:rPr>
        <w:t xml:space="preserve">, on average, 2 items were categorized as assets for doing business in Sangamon County (mean score of less than 3), while five items, on average, were categorized as a liability. Sixteen items received average scores between 2.5 and 3.5, indicating relatively neutral evaluations (neither an asset nor a liability). </w:t>
      </w:r>
    </w:p>
    <w:p w:rsidR="00895A3D" w:rsidRPr="00376CD5" w:rsidRDefault="0034018E" w:rsidP="00895A3D">
      <w:pPr>
        <w:spacing w:after="0"/>
        <w:rPr>
          <w:szCs w:val="24"/>
        </w:rPr>
      </w:pPr>
      <w:r w:rsidRPr="0034018E">
        <w:rPr>
          <w:noProof/>
          <w:szCs w:val="24"/>
        </w:rPr>
        <mc:AlternateContent>
          <mc:Choice Requires="wps">
            <w:drawing>
              <wp:anchor distT="0" distB="0" distL="114300" distR="114300" simplePos="0" relativeHeight="251676672" behindDoc="0" locked="0" layoutInCell="1" allowOverlap="1" wp14:anchorId="1FEFB533" wp14:editId="4A073879">
                <wp:simplePos x="0" y="0"/>
                <wp:positionH relativeFrom="column">
                  <wp:posOffset>2257425</wp:posOffset>
                </wp:positionH>
                <wp:positionV relativeFrom="paragraph">
                  <wp:posOffset>3924300</wp:posOffset>
                </wp:positionV>
                <wp:extent cx="619125" cy="2952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solidFill>
                          <a:srgbClr val="FFFFFF"/>
                        </a:solidFill>
                        <a:ln w="9525">
                          <a:noFill/>
                          <a:miter lim="800000"/>
                          <a:headEnd/>
                          <a:tailEnd/>
                        </a:ln>
                      </wps:spPr>
                      <wps:txbx>
                        <w:txbxContent>
                          <w:p w:rsidR="007030FD" w:rsidRPr="0034018E" w:rsidRDefault="007030FD">
                            <w:pPr>
                              <w:rPr>
                                <w:sz w:val="20"/>
                              </w:rPr>
                            </w:pPr>
                            <w:r w:rsidRPr="0034018E">
                              <w:rPr>
                                <w:sz w:val="20"/>
                              </w:rPr>
                              <w:t>Asset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7.75pt;margin-top:309pt;width:48.7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" stroked="f">
                <v:textbox>
                  <w:txbxContent>
                    <w:p w:rsidR="007030FD" w:rsidRPr="0034018E" w:rsidRDefault="007030FD">
                      <w:pPr>
                        <w:rPr>
                          <w:sz w:val="20"/>
                        </w:rPr>
                      </w:pPr>
                      <w:r w:rsidRPr="0034018E">
                        <w:rPr>
                          <w:sz w:val="20"/>
                        </w:rPr>
                        <w:t>Asset</w:t>
                      </w:r>
                    </w:p>
                  </w:txbxContent>
                </v:textbox>
              </v:shape>
            </w:pict>
          </mc:Fallback>
        </mc:AlternateContent>
      </w:r>
      <w:r w:rsidRPr="0034018E">
        <w:rPr>
          <w:noProof/>
          <w:szCs w:val="24"/>
        </w:rPr>
        <mc:AlternateContent>
          <mc:Choice Requires="wps">
            <w:drawing>
              <wp:anchor distT="0" distB="0" distL="114300" distR="114300" simplePos="0" relativeHeight="251678720" behindDoc="0" locked="0" layoutInCell="1" allowOverlap="1" wp14:anchorId="2DF06354" wp14:editId="7A1F5AEA">
                <wp:simplePos x="0" y="0"/>
                <wp:positionH relativeFrom="column">
                  <wp:posOffset>3924300</wp:posOffset>
                </wp:positionH>
                <wp:positionV relativeFrom="paragraph">
                  <wp:posOffset>3924300</wp:posOffset>
                </wp:positionV>
                <wp:extent cx="619125" cy="2952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solidFill>
                          <a:srgbClr val="FFFFFF"/>
                        </a:solidFill>
                        <a:ln w="9525">
                          <a:noFill/>
                          <a:miter lim="800000"/>
                          <a:headEnd/>
                          <a:tailEnd/>
                        </a:ln>
                      </wps:spPr>
                      <wps:txbx>
                        <w:txbxContent>
                          <w:p w:rsidR="007030FD" w:rsidRPr="0034018E" w:rsidRDefault="007030FD" w:rsidP="0034018E">
                            <w:pPr>
                              <w:rPr>
                                <w:sz w:val="20"/>
                              </w:rPr>
                            </w:pPr>
                            <w:r>
                              <w:rPr>
                                <w:sz w:val="20"/>
                              </w:rPr>
                              <w:t>Liability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9pt;margin-top:309pt;width:48.7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" stroked="f">
                <v:textbox>
                  <w:txbxContent>
                    <w:p w:rsidR="007030FD" w:rsidRPr="0034018E" w:rsidRDefault="007030FD" w:rsidP="0034018E">
                      <w:pPr>
                        <w:rPr>
                          <w:sz w:val="20"/>
                        </w:rPr>
                      </w:pPr>
                      <w:r>
                        <w:rPr>
                          <w:sz w:val="20"/>
                        </w:rPr>
                        <w:t>Liability</w:t>
                      </w:r>
                    </w:p>
                  </w:txbxContent>
                </v:textbox>
              </v:shape>
            </w:pict>
          </mc:Fallback>
        </mc:AlternateContent>
      </w:r>
      <w:r w:rsidR="006A328A" w:rsidRPr="00376CD5">
        <w:rPr>
          <w:noProof/>
        </w:rPr>
        <w:drawing>
          <wp:inline distT="0" distB="0" distL="0" distR="0" wp14:anchorId="66F24093" wp14:editId="76A429A1">
            <wp:extent cx="5876925" cy="4333875"/>
            <wp:effectExtent l="0" t="0" r="952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95A3D" w:rsidRPr="00376CD5" w:rsidRDefault="00895A3D" w:rsidP="00895A3D">
      <w:pPr>
        <w:spacing w:after="0"/>
        <w:rPr>
          <w:b/>
          <w:sz w:val="24"/>
          <w:szCs w:val="24"/>
        </w:rPr>
      </w:pPr>
    </w:p>
    <w:p w:rsidR="006A328A" w:rsidRPr="00376CD5" w:rsidRDefault="001455CC" w:rsidP="006A328A">
      <w:pPr>
        <w:spacing w:after="0"/>
        <w:rPr>
          <w:b/>
          <w:szCs w:val="24"/>
        </w:rPr>
      </w:pPr>
      <w:r>
        <w:rPr>
          <w:b/>
          <w:szCs w:val="24"/>
        </w:rPr>
        <w:lastRenderedPageBreak/>
        <w:tab/>
      </w:r>
      <w:proofErr w:type="gramStart"/>
      <w:r>
        <w:rPr>
          <w:b/>
          <w:szCs w:val="24"/>
        </w:rPr>
        <w:t>Table 7</w:t>
      </w:r>
      <w:r w:rsidR="006A328A" w:rsidRPr="00376CD5">
        <w:rPr>
          <w:b/>
          <w:szCs w:val="24"/>
        </w:rPr>
        <w:t>.</w:t>
      </w:r>
      <w:proofErr w:type="gramEnd"/>
      <w:r w:rsidR="006A328A" w:rsidRPr="00376CD5">
        <w:rPr>
          <w:b/>
          <w:szCs w:val="24"/>
        </w:rPr>
        <w:t xml:space="preserve"> Assets or liabilities for doing business in Sangamon County </w:t>
      </w:r>
    </w:p>
    <w:tbl>
      <w:tblPr>
        <w:tblStyle w:val="LightShading-Accent41"/>
        <w:tblW w:w="0" w:type="auto"/>
        <w:jc w:val="center"/>
        <w:tblLook w:val="04A0" w:firstRow="1" w:lastRow="0" w:firstColumn="1" w:lastColumn="0" w:noHBand="0" w:noVBand="1"/>
      </w:tblPr>
      <w:tblGrid>
        <w:gridCol w:w="5846"/>
        <w:gridCol w:w="2032"/>
      </w:tblGrid>
      <w:tr w:rsidR="00895A3D" w:rsidRPr="00376CD5" w:rsidTr="0034018E">
        <w:trPr>
          <w:cnfStyle w:val="100000000000" w:firstRow="1" w:lastRow="0" w:firstColumn="0" w:lastColumn="0" w:oddVBand="0" w:evenVBand="0" w:oddHBand="0"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846" w:type="dxa"/>
            <w:tcBorders>
              <w:top w:val="single" w:sz="4" w:space="0" w:color="auto"/>
              <w:left w:val="single" w:sz="4" w:space="0" w:color="auto"/>
            </w:tcBorders>
          </w:tcPr>
          <w:p w:rsidR="00895A3D" w:rsidRPr="00376CD5" w:rsidRDefault="00895A3D" w:rsidP="004E49FE">
            <w:pPr>
              <w:ind w:left="40"/>
              <w:rPr>
                <w:rFonts w:eastAsia="Times New Roman" w:cs="Calibri"/>
                <w:b w:val="0"/>
                <w:bCs w:val="0"/>
                <w:color w:val="000000"/>
              </w:rPr>
            </w:pPr>
            <w:r w:rsidRPr="00376CD5">
              <w:rPr>
                <w:rFonts w:eastAsia="Times New Roman" w:cs="Calibri"/>
                <w:color w:val="000000"/>
              </w:rPr>
              <w:t>Asset or liability?</w:t>
            </w:r>
          </w:p>
        </w:tc>
        <w:tc>
          <w:tcPr>
            <w:tcW w:w="2032" w:type="dxa"/>
            <w:tcBorders>
              <w:top w:val="single" w:sz="4" w:space="0" w:color="auto"/>
              <w:right w:val="single" w:sz="4" w:space="0" w:color="auto"/>
            </w:tcBorders>
          </w:tcPr>
          <w:p w:rsidR="00895A3D" w:rsidRPr="006C08D8" w:rsidRDefault="00895A3D" w:rsidP="004E49FE">
            <w:pPr>
              <w:jc w:val="center"/>
              <w:cnfStyle w:val="100000000000" w:firstRow="1" w:lastRow="0" w:firstColumn="0" w:lastColumn="0" w:oddVBand="0" w:evenVBand="0" w:oddHBand="0" w:evenHBand="0" w:firstRowFirstColumn="0" w:firstRowLastColumn="0" w:lastRowFirstColumn="0" w:lastRowLastColumn="0"/>
              <w:rPr>
                <w:b w:val="0"/>
                <w:color w:val="auto"/>
              </w:rPr>
            </w:pPr>
            <w:r w:rsidRPr="006C08D8">
              <w:rPr>
                <w:color w:val="auto"/>
              </w:rPr>
              <w:t>Mean score (SD)</w:t>
            </w:r>
          </w:p>
        </w:tc>
      </w:tr>
      <w:tr w:rsidR="00895A3D" w:rsidRPr="00376CD5" w:rsidTr="0034018E">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895A3D" w:rsidRPr="0034018E" w:rsidRDefault="00895A3D" w:rsidP="004E49FE">
            <w:pPr>
              <w:ind w:left="40"/>
              <w:rPr>
                <w:rFonts w:eastAsia="Times New Roman" w:cs="Calibri"/>
                <w:b w:val="0"/>
                <w:bCs w:val="0"/>
                <w:color w:val="000000"/>
              </w:rPr>
            </w:pPr>
            <w:r w:rsidRPr="0034018E">
              <w:rPr>
                <w:rFonts w:eastAsia="Times New Roman" w:cs="Calibri"/>
                <w:b w:val="0"/>
                <w:color w:val="000000"/>
              </w:rPr>
              <w:t>Health care facilities and quality</w:t>
            </w:r>
          </w:p>
        </w:tc>
        <w:tc>
          <w:tcPr>
            <w:tcW w:w="2032" w:type="dxa"/>
            <w:tcBorders>
              <w:right w:val="single" w:sz="4" w:space="0" w:color="auto"/>
            </w:tcBorders>
          </w:tcPr>
          <w:p w:rsidR="00895A3D" w:rsidRPr="006C08D8" w:rsidRDefault="00895A3D" w:rsidP="004E49FE">
            <w:pPr>
              <w:jc w:val="center"/>
              <w:cnfStyle w:val="000000100000" w:firstRow="0" w:lastRow="0" w:firstColumn="0" w:lastColumn="0" w:oddVBand="0" w:evenVBand="0" w:oddHBand="1" w:evenHBand="0" w:firstRowFirstColumn="0" w:firstRowLastColumn="0" w:lastRowFirstColumn="0" w:lastRowLastColumn="0"/>
              <w:rPr>
                <w:color w:val="auto"/>
              </w:rPr>
            </w:pPr>
            <w:r w:rsidRPr="006C08D8">
              <w:rPr>
                <w:color w:val="auto"/>
              </w:rPr>
              <w:t>1.96(.870)</w:t>
            </w:r>
          </w:p>
        </w:tc>
      </w:tr>
      <w:tr w:rsidR="00895A3D" w:rsidRPr="00376CD5" w:rsidTr="0034018E">
        <w:trPr>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895A3D" w:rsidRPr="0034018E" w:rsidRDefault="00895A3D" w:rsidP="004E49FE">
            <w:pPr>
              <w:ind w:left="40"/>
              <w:rPr>
                <w:rFonts w:eastAsia="Times New Roman" w:cs="Calibri"/>
                <w:b w:val="0"/>
                <w:bCs w:val="0"/>
                <w:color w:val="000000"/>
              </w:rPr>
            </w:pPr>
            <w:r w:rsidRPr="0034018E">
              <w:rPr>
                <w:rFonts w:eastAsia="Times New Roman" w:cs="Calibri"/>
                <w:b w:val="0"/>
                <w:color w:val="000000"/>
              </w:rPr>
              <w:t>Proximity to colleges/universities/technical schools</w:t>
            </w:r>
          </w:p>
        </w:tc>
        <w:tc>
          <w:tcPr>
            <w:tcW w:w="2032" w:type="dxa"/>
            <w:tcBorders>
              <w:right w:val="single" w:sz="4" w:space="0" w:color="auto"/>
            </w:tcBorders>
          </w:tcPr>
          <w:p w:rsidR="00895A3D" w:rsidRPr="006C08D8" w:rsidRDefault="00895A3D" w:rsidP="004E49FE">
            <w:pPr>
              <w:jc w:val="center"/>
              <w:cnfStyle w:val="000000000000" w:firstRow="0" w:lastRow="0" w:firstColumn="0" w:lastColumn="0" w:oddVBand="0" w:evenVBand="0" w:oddHBand="0" w:evenHBand="0" w:firstRowFirstColumn="0" w:firstRowLastColumn="0" w:lastRowFirstColumn="0" w:lastRowLastColumn="0"/>
              <w:rPr>
                <w:color w:val="auto"/>
              </w:rPr>
            </w:pPr>
            <w:r w:rsidRPr="006C08D8">
              <w:rPr>
                <w:color w:val="auto"/>
              </w:rPr>
              <w:t>2.35(.844)</w:t>
            </w:r>
          </w:p>
        </w:tc>
      </w:tr>
      <w:tr w:rsidR="00895A3D" w:rsidRPr="00376CD5" w:rsidTr="0034018E">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shd w:val="clear" w:color="auto" w:fill="808080" w:themeFill="background1" w:themeFillShade="80"/>
          </w:tcPr>
          <w:p w:rsidR="00895A3D" w:rsidRPr="0034018E" w:rsidRDefault="00895A3D" w:rsidP="004E49FE">
            <w:pPr>
              <w:ind w:left="40"/>
              <w:rPr>
                <w:rFonts w:eastAsia="Times New Roman" w:cs="Calibri"/>
                <w:b w:val="0"/>
                <w:bCs w:val="0"/>
                <w:color w:val="000000"/>
              </w:rPr>
            </w:pPr>
          </w:p>
        </w:tc>
        <w:tc>
          <w:tcPr>
            <w:tcW w:w="2032" w:type="dxa"/>
            <w:tcBorders>
              <w:right w:val="single" w:sz="4" w:space="0" w:color="auto"/>
            </w:tcBorders>
            <w:shd w:val="clear" w:color="auto" w:fill="808080" w:themeFill="background1" w:themeFillShade="80"/>
          </w:tcPr>
          <w:p w:rsidR="00895A3D" w:rsidRPr="006C08D8" w:rsidRDefault="00895A3D" w:rsidP="004E49FE">
            <w:pPr>
              <w:jc w:val="center"/>
              <w:cnfStyle w:val="000000100000" w:firstRow="0" w:lastRow="0" w:firstColumn="0" w:lastColumn="0" w:oddVBand="0" w:evenVBand="0" w:oddHBand="1" w:evenHBand="0" w:firstRowFirstColumn="0" w:firstRowLastColumn="0" w:lastRowFirstColumn="0" w:lastRowLastColumn="0"/>
              <w:rPr>
                <w:color w:val="auto"/>
              </w:rPr>
            </w:pPr>
          </w:p>
        </w:tc>
      </w:tr>
      <w:tr w:rsidR="00895A3D" w:rsidRPr="00376CD5" w:rsidTr="0034018E">
        <w:trPr>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895A3D" w:rsidRPr="0034018E" w:rsidRDefault="00895A3D" w:rsidP="004E49FE">
            <w:pPr>
              <w:ind w:left="40"/>
              <w:rPr>
                <w:rFonts w:eastAsia="Times New Roman" w:cs="Calibri"/>
                <w:b w:val="0"/>
                <w:bCs w:val="0"/>
                <w:color w:val="000000"/>
              </w:rPr>
            </w:pPr>
            <w:r w:rsidRPr="0034018E">
              <w:rPr>
                <w:rFonts w:eastAsia="Times New Roman" w:cs="Calibri"/>
                <w:b w:val="0"/>
                <w:color w:val="000000"/>
              </w:rPr>
              <w:t>Cost of living and housing</w:t>
            </w:r>
          </w:p>
        </w:tc>
        <w:tc>
          <w:tcPr>
            <w:tcW w:w="2032" w:type="dxa"/>
            <w:tcBorders>
              <w:right w:val="single" w:sz="4" w:space="0" w:color="auto"/>
            </w:tcBorders>
          </w:tcPr>
          <w:p w:rsidR="00895A3D" w:rsidRPr="006C08D8" w:rsidRDefault="00895A3D" w:rsidP="004E49FE">
            <w:pPr>
              <w:jc w:val="center"/>
              <w:cnfStyle w:val="000000000000" w:firstRow="0" w:lastRow="0" w:firstColumn="0" w:lastColumn="0" w:oddVBand="0" w:evenVBand="0" w:oddHBand="0" w:evenHBand="0" w:firstRowFirstColumn="0" w:firstRowLastColumn="0" w:lastRowFirstColumn="0" w:lastRowLastColumn="0"/>
              <w:rPr>
                <w:color w:val="auto"/>
              </w:rPr>
            </w:pPr>
            <w:r w:rsidRPr="006C08D8">
              <w:rPr>
                <w:color w:val="auto"/>
              </w:rPr>
              <w:t>2.57(1.01)</w:t>
            </w:r>
          </w:p>
        </w:tc>
      </w:tr>
      <w:tr w:rsidR="00895A3D" w:rsidRPr="00376CD5" w:rsidTr="0034018E">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895A3D" w:rsidRPr="0034018E" w:rsidRDefault="00895A3D" w:rsidP="004E49FE">
            <w:pPr>
              <w:ind w:left="40"/>
              <w:rPr>
                <w:rFonts w:eastAsia="Times New Roman" w:cs="Calibri"/>
                <w:b w:val="0"/>
                <w:bCs w:val="0"/>
                <w:color w:val="000000"/>
              </w:rPr>
            </w:pPr>
            <w:r w:rsidRPr="0034018E">
              <w:rPr>
                <w:rFonts w:eastAsia="Times New Roman" w:cs="Calibri"/>
                <w:b w:val="0"/>
                <w:color w:val="000000"/>
              </w:rPr>
              <w:t>Access/proximity to transportation systems (highway, rail, air)</w:t>
            </w:r>
          </w:p>
        </w:tc>
        <w:tc>
          <w:tcPr>
            <w:tcW w:w="2032" w:type="dxa"/>
            <w:tcBorders>
              <w:right w:val="single" w:sz="4" w:space="0" w:color="auto"/>
            </w:tcBorders>
          </w:tcPr>
          <w:p w:rsidR="00895A3D" w:rsidRPr="006C08D8" w:rsidRDefault="00895A3D" w:rsidP="004E49FE">
            <w:pPr>
              <w:jc w:val="center"/>
              <w:cnfStyle w:val="000000100000" w:firstRow="0" w:lastRow="0" w:firstColumn="0" w:lastColumn="0" w:oddVBand="0" w:evenVBand="0" w:oddHBand="1" w:evenHBand="0" w:firstRowFirstColumn="0" w:firstRowLastColumn="0" w:lastRowFirstColumn="0" w:lastRowLastColumn="0"/>
              <w:rPr>
                <w:color w:val="auto"/>
              </w:rPr>
            </w:pPr>
            <w:r w:rsidRPr="006C08D8">
              <w:rPr>
                <w:color w:val="auto"/>
              </w:rPr>
              <w:t>2.59(.902)</w:t>
            </w:r>
          </w:p>
        </w:tc>
      </w:tr>
      <w:tr w:rsidR="00895A3D" w:rsidRPr="00376CD5" w:rsidTr="0034018E">
        <w:trPr>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895A3D" w:rsidRPr="0034018E" w:rsidRDefault="00895A3D" w:rsidP="004E49FE">
            <w:pPr>
              <w:ind w:left="40"/>
              <w:rPr>
                <w:rFonts w:eastAsia="Times New Roman" w:cs="Calibri"/>
                <w:b w:val="0"/>
                <w:bCs w:val="0"/>
                <w:color w:val="000000"/>
              </w:rPr>
            </w:pPr>
            <w:r w:rsidRPr="0034018E">
              <w:rPr>
                <w:rFonts w:eastAsia="Times New Roman" w:cs="Calibri"/>
                <w:b w:val="0"/>
                <w:color w:val="000000"/>
              </w:rPr>
              <w:t>Crime and public safety services</w:t>
            </w:r>
          </w:p>
        </w:tc>
        <w:tc>
          <w:tcPr>
            <w:tcW w:w="2032" w:type="dxa"/>
            <w:tcBorders>
              <w:right w:val="single" w:sz="4" w:space="0" w:color="auto"/>
            </w:tcBorders>
          </w:tcPr>
          <w:p w:rsidR="00895A3D" w:rsidRPr="006C08D8" w:rsidRDefault="00895A3D" w:rsidP="004E49FE">
            <w:pPr>
              <w:jc w:val="center"/>
              <w:cnfStyle w:val="000000000000" w:firstRow="0" w:lastRow="0" w:firstColumn="0" w:lastColumn="0" w:oddVBand="0" w:evenVBand="0" w:oddHBand="0" w:evenHBand="0" w:firstRowFirstColumn="0" w:firstRowLastColumn="0" w:lastRowFirstColumn="0" w:lastRowLastColumn="0"/>
              <w:rPr>
                <w:color w:val="auto"/>
              </w:rPr>
            </w:pPr>
            <w:r w:rsidRPr="006C08D8">
              <w:rPr>
                <w:color w:val="auto"/>
              </w:rPr>
              <w:t>2.71(.888)</w:t>
            </w:r>
          </w:p>
        </w:tc>
      </w:tr>
      <w:tr w:rsidR="00895A3D" w:rsidRPr="00376CD5" w:rsidTr="0034018E">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895A3D" w:rsidRPr="0034018E" w:rsidRDefault="00895A3D" w:rsidP="004E49FE">
            <w:pPr>
              <w:ind w:left="40"/>
              <w:rPr>
                <w:rFonts w:eastAsia="Times New Roman" w:cs="Calibri"/>
                <w:b w:val="0"/>
                <w:bCs w:val="0"/>
                <w:color w:val="000000"/>
              </w:rPr>
            </w:pPr>
            <w:r w:rsidRPr="0034018E">
              <w:rPr>
                <w:rFonts w:eastAsia="Times New Roman" w:cs="Calibri"/>
                <w:b w:val="0"/>
                <w:color w:val="000000"/>
              </w:rPr>
              <w:t>Being located in the state capital</w:t>
            </w:r>
          </w:p>
        </w:tc>
        <w:tc>
          <w:tcPr>
            <w:tcW w:w="2032" w:type="dxa"/>
            <w:tcBorders>
              <w:right w:val="single" w:sz="4" w:space="0" w:color="auto"/>
            </w:tcBorders>
          </w:tcPr>
          <w:p w:rsidR="00895A3D" w:rsidRPr="006C08D8" w:rsidRDefault="00895A3D" w:rsidP="004E49FE">
            <w:pPr>
              <w:jc w:val="center"/>
              <w:cnfStyle w:val="000000100000" w:firstRow="0" w:lastRow="0" w:firstColumn="0" w:lastColumn="0" w:oddVBand="0" w:evenVBand="0" w:oddHBand="1" w:evenHBand="0" w:firstRowFirstColumn="0" w:firstRowLastColumn="0" w:lastRowFirstColumn="0" w:lastRowLastColumn="0"/>
              <w:rPr>
                <w:color w:val="auto"/>
              </w:rPr>
            </w:pPr>
            <w:r w:rsidRPr="006C08D8">
              <w:rPr>
                <w:color w:val="auto"/>
              </w:rPr>
              <w:t>2.72(.871)</w:t>
            </w:r>
          </w:p>
        </w:tc>
      </w:tr>
      <w:tr w:rsidR="00895A3D" w:rsidRPr="00376CD5" w:rsidTr="0034018E">
        <w:trPr>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895A3D" w:rsidRPr="0034018E" w:rsidRDefault="00895A3D" w:rsidP="004E49FE">
            <w:pPr>
              <w:ind w:left="40"/>
              <w:rPr>
                <w:rFonts w:eastAsia="Times New Roman" w:cs="Calibri"/>
                <w:b w:val="0"/>
                <w:bCs w:val="0"/>
                <w:color w:val="000000"/>
              </w:rPr>
            </w:pPr>
            <w:r w:rsidRPr="0034018E">
              <w:rPr>
                <w:rFonts w:eastAsia="Times New Roman" w:cs="Calibri"/>
                <w:b w:val="0"/>
                <w:color w:val="000000"/>
              </w:rPr>
              <w:t>Recreational, social, and cultural opportunities</w:t>
            </w:r>
          </w:p>
        </w:tc>
        <w:tc>
          <w:tcPr>
            <w:tcW w:w="2032" w:type="dxa"/>
            <w:tcBorders>
              <w:right w:val="single" w:sz="4" w:space="0" w:color="auto"/>
            </w:tcBorders>
          </w:tcPr>
          <w:p w:rsidR="00895A3D" w:rsidRPr="006C08D8" w:rsidRDefault="00895A3D" w:rsidP="004E49FE">
            <w:pPr>
              <w:jc w:val="center"/>
              <w:cnfStyle w:val="000000000000" w:firstRow="0" w:lastRow="0" w:firstColumn="0" w:lastColumn="0" w:oddVBand="0" w:evenVBand="0" w:oddHBand="0" w:evenHBand="0" w:firstRowFirstColumn="0" w:firstRowLastColumn="0" w:lastRowFirstColumn="0" w:lastRowLastColumn="0"/>
              <w:rPr>
                <w:color w:val="auto"/>
              </w:rPr>
            </w:pPr>
            <w:r w:rsidRPr="006C08D8">
              <w:rPr>
                <w:color w:val="auto"/>
              </w:rPr>
              <w:t>2.75(.851)</w:t>
            </w:r>
          </w:p>
        </w:tc>
      </w:tr>
      <w:tr w:rsidR="00895A3D" w:rsidRPr="00376CD5" w:rsidTr="0034018E">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895A3D" w:rsidRPr="0034018E" w:rsidRDefault="00895A3D" w:rsidP="004E49FE">
            <w:pPr>
              <w:ind w:left="40"/>
              <w:rPr>
                <w:rFonts w:eastAsia="Times New Roman" w:cs="Calibri"/>
                <w:b w:val="0"/>
                <w:bCs w:val="0"/>
                <w:color w:val="000000"/>
              </w:rPr>
            </w:pPr>
            <w:r w:rsidRPr="0034018E">
              <w:rPr>
                <w:rFonts w:eastAsia="Times New Roman" w:cs="Calibri"/>
                <w:b w:val="0"/>
                <w:color w:val="000000"/>
              </w:rPr>
              <w:t>Cost of/ availability of land and business or expansion possibilities</w:t>
            </w:r>
          </w:p>
        </w:tc>
        <w:tc>
          <w:tcPr>
            <w:tcW w:w="2032" w:type="dxa"/>
            <w:tcBorders>
              <w:right w:val="single" w:sz="4" w:space="0" w:color="auto"/>
            </w:tcBorders>
          </w:tcPr>
          <w:p w:rsidR="00895A3D" w:rsidRPr="006C08D8" w:rsidRDefault="00895A3D" w:rsidP="004E49FE">
            <w:pPr>
              <w:jc w:val="center"/>
              <w:cnfStyle w:val="000000100000" w:firstRow="0" w:lastRow="0" w:firstColumn="0" w:lastColumn="0" w:oddVBand="0" w:evenVBand="0" w:oddHBand="1" w:evenHBand="0" w:firstRowFirstColumn="0" w:firstRowLastColumn="0" w:lastRowFirstColumn="0" w:lastRowLastColumn="0"/>
              <w:rPr>
                <w:color w:val="auto"/>
              </w:rPr>
            </w:pPr>
            <w:r w:rsidRPr="006C08D8">
              <w:rPr>
                <w:color w:val="auto"/>
              </w:rPr>
              <w:t>2.78(.818)</w:t>
            </w:r>
          </w:p>
        </w:tc>
      </w:tr>
      <w:tr w:rsidR="00895A3D" w:rsidRPr="00376CD5" w:rsidTr="0034018E">
        <w:trPr>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895A3D" w:rsidRPr="0034018E" w:rsidRDefault="00895A3D" w:rsidP="004E49FE">
            <w:pPr>
              <w:ind w:left="40"/>
              <w:rPr>
                <w:rFonts w:eastAsia="Times New Roman" w:cs="Calibri"/>
                <w:b w:val="0"/>
                <w:bCs w:val="0"/>
                <w:color w:val="000000"/>
              </w:rPr>
            </w:pPr>
            <w:r w:rsidRPr="0034018E">
              <w:rPr>
                <w:rFonts w:eastAsia="Times New Roman" w:cs="Calibri"/>
                <w:b w:val="0"/>
                <w:color w:val="000000"/>
              </w:rPr>
              <w:t>Access to/cost of communications networks</w:t>
            </w:r>
          </w:p>
        </w:tc>
        <w:tc>
          <w:tcPr>
            <w:tcW w:w="2032" w:type="dxa"/>
            <w:tcBorders>
              <w:right w:val="single" w:sz="4" w:space="0" w:color="auto"/>
            </w:tcBorders>
          </w:tcPr>
          <w:p w:rsidR="00895A3D" w:rsidRPr="006C08D8" w:rsidRDefault="00895A3D" w:rsidP="004E49FE">
            <w:pPr>
              <w:jc w:val="center"/>
              <w:cnfStyle w:val="000000000000" w:firstRow="0" w:lastRow="0" w:firstColumn="0" w:lastColumn="0" w:oddVBand="0" w:evenVBand="0" w:oddHBand="0" w:evenHBand="0" w:firstRowFirstColumn="0" w:firstRowLastColumn="0" w:lastRowFirstColumn="0" w:lastRowLastColumn="0"/>
              <w:rPr>
                <w:color w:val="auto"/>
              </w:rPr>
            </w:pPr>
            <w:r w:rsidRPr="006C08D8">
              <w:rPr>
                <w:color w:val="auto"/>
              </w:rPr>
              <w:t>2.81(.808)</w:t>
            </w:r>
          </w:p>
        </w:tc>
      </w:tr>
      <w:tr w:rsidR="00895A3D" w:rsidRPr="00376CD5" w:rsidTr="0034018E">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895A3D" w:rsidRPr="0034018E" w:rsidRDefault="00895A3D" w:rsidP="004E49FE">
            <w:pPr>
              <w:ind w:left="40"/>
              <w:rPr>
                <w:rFonts w:eastAsia="Times New Roman" w:cs="Calibri"/>
                <w:b w:val="0"/>
                <w:bCs w:val="0"/>
                <w:color w:val="000000"/>
              </w:rPr>
            </w:pPr>
            <w:r w:rsidRPr="0034018E">
              <w:rPr>
                <w:rFonts w:eastAsia="Times New Roman" w:cs="Calibri"/>
                <w:b w:val="0"/>
                <w:color w:val="000000"/>
              </w:rPr>
              <w:t>Utilities- access to/cost of (electricity, natural gas, water supply, waste disposal)</w:t>
            </w:r>
          </w:p>
        </w:tc>
        <w:tc>
          <w:tcPr>
            <w:tcW w:w="2032" w:type="dxa"/>
            <w:tcBorders>
              <w:right w:val="single" w:sz="4" w:space="0" w:color="auto"/>
            </w:tcBorders>
          </w:tcPr>
          <w:p w:rsidR="00895A3D" w:rsidRPr="006C08D8" w:rsidRDefault="00895A3D" w:rsidP="004E49FE">
            <w:pPr>
              <w:jc w:val="center"/>
              <w:cnfStyle w:val="000000100000" w:firstRow="0" w:lastRow="0" w:firstColumn="0" w:lastColumn="0" w:oddVBand="0" w:evenVBand="0" w:oddHBand="1" w:evenHBand="0" w:firstRowFirstColumn="0" w:firstRowLastColumn="0" w:lastRowFirstColumn="0" w:lastRowLastColumn="0"/>
              <w:rPr>
                <w:color w:val="auto"/>
              </w:rPr>
            </w:pPr>
            <w:r w:rsidRPr="006C08D8">
              <w:rPr>
                <w:color w:val="auto"/>
              </w:rPr>
              <w:t>2.83(1.00)</w:t>
            </w:r>
          </w:p>
        </w:tc>
      </w:tr>
      <w:tr w:rsidR="00895A3D" w:rsidRPr="00376CD5" w:rsidTr="0034018E">
        <w:trPr>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895A3D" w:rsidRPr="0034018E" w:rsidRDefault="00895A3D" w:rsidP="004E49FE">
            <w:pPr>
              <w:ind w:left="40"/>
              <w:rPr>
                <w:rFonts w:eastAsia="Times New Roman" w:cs="Calibri"/>
                <w:b w:val="0"/>
                <w:bCs w:val="0"/>
                <w:color w:val="000000"/>
              </w:rPr>
            </w:pPr>
            <w:r w:rsidRPr="0034018E">
              <w:rPr>
                <w:rFonts w:eastAsia="Times New Roman" w:cs="Calibri"/>
                <w:b w:val="0"/>
                <w:color w:val="000000"/>
              </w:rPr>
              <w:t>Environment and climate</w:t>
            </w:r>
          </w:p>
        </w:tc>
        <w:tc>
          <w:tcPr>
            <w:tcW w:w="2032" w:type="dxa"/>
            <w:tcBorders>
              <w:right w:val="single" w:sz="4" w:space="0" w:color="auto"/>
            </w:tcBorders>
          </w:tcPr>
          <w:p w:rsidR="00895A3D" w:rsidRPr="006C08D8" w:rsidRDefault="00895A3D" w:rsidP="004E49FE">
            <w:pPr>
              <w:jc w:val="center"/>
              <w:cnfStyle w:val="000000000000" w:firstRow="0" w:lastRow="0" w:firstColumn="0" w:lastColumn="0" w:oddVBand="0" w:evenVBand="0" w:oddHBand="0" w:evenHBand="0" w:firstRowFirstColumn="0" w:firstRowLastColumn="0" w:lastRowFirstColumn="0" w:lastRowLastColumn="0"/>
              <w:rPr>
                <w:color w:val="auto"/>
              </w:rPr>
            </w:pPr>
            <w:r w:rsidRPr="006C08D8">
              <w:rPr>
                <w:color w:val="auto"/>
              </w:rPr>
              <w:t>2.87(.841)</w:t>
            </w:r>
          </w:p>
        </w:tc>
      </w:tr>
      <w:tr w:rsidR="00895A3D" w:rsidRPr="00376CD5" w:rsidTr="0034018E">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895A3D" w:rsidRPr="0034018E" w:rsidRDefault="00895A3D" w:rsidP="004E49FE">
            <w:pPr>
              <w:ind w:left="40"/>
              <w:rPr>
                <w:rFonts w:eastAsia="Times New Roman" w:cs="Calibri"/>
                <w:b w:val="0"/>
                <w:bCs w:val="0"/>
                <w:color w:val="000000"/>
              </w:rPr>
            </w:pPr>
            <w:r w:rsidRPr="0034018E">
              <w:rPr>
                <w:rFonts w:eastAsia="Times New Roman" w:cs="Calibri"/>
                <w:b w:val="0"/>
                <w:color w:val="000000"/>
              </w:rPr>
              <w:t>Local government incentives to business</w:t>
            </w:r>
          </w:p>
        </w:tc>
        <w:tc>
          <w:tcPr>
            <w:tcW w:w="2032" w:type="dxa"/>
            <w:tcBorders>
              <w:right w:val="single" w:sz="4" w:space="0" w:color="auto"/>
            </w:tcBorders>
          </w:tcPr>
          <w:p w:rsidR="00895A3D" w:rsidRPr="006C08D8" w:rsidRDefault="00895A3D" w:rsidP="004E49FE">
            <w:pPr>
              <w:jc w:val="center"/>
              <w:cnfStyle w:val="000000100000" w:firstRow="0" w:lastRow="0" w:firstColumn="0" w:lastColumn="0" w:oddVBand="0" w:evenVBand="0" w:oddHBand="1" w:evenHBand="0" w:firstRowFirstColumn="0" w:firstRowLastColumn="0" w:lastRowFirstColumn="0" w:lastRowLastColumn="0"/>
              <w:rPr>
                <w:color w:val="auto"/>
              </w:rPr>
            </w:pPr>
            <w:r w:rsidRPr="006C08D8">
              <w:rPr>
                <w:color w:val="auto"/>
              </w:rPr>
              <w:t>2.91(.905)</w:t>
            </w:r>
          </w:p>
        </w:tc>
      </w:tr>
      <w:tr w:rsidR="00895A3D" w:rsidRPr="00376CD5" w:rsidTr="0034018E">
        <w:trPr>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895A3D" w:rsidRPr="0034018E" w:rsidRDefault="00895A3D" w:rsidP="004E49FE">
            <w:pPr>
              <w:ind w:left="40"/>
              <w:rPr>
                <w:rFonts w:eastAsia="Times New Roman" w:cs="Calibri"/>
                <w:b w:val="0"/>
                <w:bCs w:val="0"/>
                <w:color w:val="000000"/>
              </w:rPr>
            </w:pPr>
            <w:r w:rsidRPr="0034018E">
              <w:rPr>
                <w:rFonts w:eastAsia="Times New Roman" w:cs="Calibri"/>
                <w:b w:val="0"/>
                <w:color w:val="000000"/>
              </w:rPr>
              <w:t>K-12 education system</w:t>
            </w:r>
          </w:p>
        </w:tc>
        <w:tc>
          <w:tcPr>
            <w:tcW w:w="2032" w:type="dxa"/>
            <w:tcBorders>
              <w:right w:val="single" w:sz="4" w:space="0" w:color="auto"/>
            </w:tcBorders>
          </w:tcPr>
          <w:p w:rsidR="00895A3D" w:rsidRPr="006C08D8" w:rsidRDefault="00895A3D" w:rsidP="004E49FE">
            <w:pPr>
              <w:jc w:val="center"/>
              <w:cnfStyle w:val="000000000000" w:firstRow="0" w:lastRow="0" w:firstColumn="0" w:lastColumn="0" w:oddVBand="0" w:evenVBand="0" w:oddHBand="0" w:evenHBand="0" w:firstRowFirstColumn="0" w:firstRowLastColumn="0" w:lastRowFirstColumn="0" w:lastRowLastColumn="0"/>
              <w:rPr>
                <w:color w:val="auto"/>
              </w:rPr>
            </w:pPr>
            <w:r w:rsidRPr="006C08D8">
              <w:rPr>
                <w:color w:val="auto"/>
              </w:rPr>
              <w:t>2.92(.929)</w:t>
            </w:r>
          </w:p>
        </w:tc>
      </w:tr>
      <w:tr w:rsidR="00895A3D" w:rsidRPr="00376CD5" w:rsidTr="0034018E">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895A3D" w:rsidRPr="0034018E" w:rsidRDefault="00895A3D" w:rsidP="004E49FE">
            <w:pPr>
              <w:ind w:left="40"/>
              <w:rPr>
                <w:rFonts w:eastAsia="Times New Roman" w:cs="Calibri"/>
                <w:b w:val="0"/>
                <w:bCs w:val="0"/>
                <w:color w:val="000000"/>
              </w:rPr>
            </w:pPr>
            <w:r w:rsidRPr="0034018E">
              <w:rPr>
                <w:rFonts w:eastAsia="Times New Roman" w:cs="Calibri"/>
                <w:b w:val="0"/>
                <w:color w:val="000000"/>
              </w:rPr>
              <w:t>Local business climate and reputation</w:t>
            </w:r>
          </w:p>
        </w:tc>
        <w:tc>
          <w:tcPr>
            <w:tcW w:w="2032" w:type="dxa"/>
            <w:tcBorders>
              <w:right w:val="single" w:sz="4" w:space="0" w:color="auto"/>
            </w:tcBorders>
          </w:tcPr>
          <w:p w:rsidR="00895A3D" w:rsidRPr="006C08D8" w:rsidRDefault="00895A3D" w:rsidP="004E49FE">
            <w:pPr>
              <w:jc w:val="center"/>
              <w:cnfStyle w:val="000000100000" w:firstRow="0" w:lastRow="0" w:firstColumn="0" w:lastColumn="0" w:oddVBand="0" w:evenVBand="0" w:oddHBand="1" w:evenHBand="0" w:firstRowFirstColumn="0" w:firstRowLastColumn="0" w:lastRowFirstColumn="0" w:lastRowLastColumn="0"/>
              <w:rPr>
                <w:color w:val="auto"/>
              </w:rPr>
            </w:pPr>
            <w:r w:rsidRPr="006C08D8">
              <w:rPr>
                <w:color w:val="auto"/>
              </w:rPr>
              <w:t>2.94(1.05)</w:t>
            </w:r>
          </w:p>
        </w:tc>
      </w:tr>
      <w:tr w:rsidR="00895A3D" w:rsidRPr="00376CD5" w:rsidTr="0034018E">
        <w:trPr>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895A3D" w:rsidRPr="0034018E" w:rsidRDefault="00895A3D" w:rsidP="004E49FE">
            <w:pPr>
              <w:ind w:left="40"/>
              <w:rPr>
                <w:rFonts w:eastAsia="Times New Roman" w:cs="Calibri"/>
                <w:b w:val="0"/>
                <w:bCs w:val="0"/>
                <w:color w:val="000000"/>
              </w:rPr>
            </w:pPr>
            <w:r w:rsidRPr="0034018E">
              <w:rPr>
                <w:rFonts w:eastAsia="Times New Roman" w:cs="Calibri"/>
                <w:b w:val="0"/>
                <w:color w:val="000000"/>
              </w:rPr>
              <w:t>Availability of workforce</w:t>
            </w:r>
          </w:p>
        </w:tc>
        <w:tc>
          <w:tcPr>
            <w:tcW w:w="2032" w:type="dxa"/>
            <w:tcBorders>
              <w:right w:val="single" w:sz="4" w:space="0" w:color="auto"/>
            </w:tcBorders>
          </w:tcPr>
          <w:p w:rsidR="00895A3D" w:rsidRPr="006C08D8" w:rsidRDefault="00895A3D" w:rsidP="004E49FE">
            <w:pPr>
              <w:jc w:val="center"/>
              <w:cnfStyle w:val="000000000000" w:firstRow="0" w:lastRow="0" w:firstColumn="0" w:lastColumn="0" w:oddVBand="0" w:evenVBand="0" w:oddHBand="0" w:evenHBand="0" w:firstRowFirstColumn="0" w:firstRowLastColumn="0" w:lastRowFirstColumn="0" w:lastRowLastColumn="0"/>
              <w:rPr>
                <w:color w:val="auto"/>
              </w:rPr>
            </w:pPr>
            <w:r w:rsidRPr="006C08D8">
              <w:rPr>
                <w:color w:val="auto"/>
              </w:rPr>
              <w:t>2.98(1.05)</w:t>
            </w:r>
          </w:p>
        </w:tc>
      </w:tr>
      <w:tr w:rsidR="00895A3D" w:rsidRPr="00376CD5" w:rsidTr="0034018E">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895A3D" w:rsidRPr="0034018E" w:rsidRDefault="00895A3D" w:rsidP="004E49FE">
            <w:pPr>
              <w:ind w:left="40"/>
              <w:rPr>
                <w:rFonts w:eastAsia="Times New Roman" w:cs="Calibri"/>
                <w:b w:val="0"/>
                <w:bCs w:val="0"/>
                <w:color w:val="000000"/>
              </w:rPr>
            </w:pPr>
            <w:r w:rsidRPr="0034018E">
              <w:rPr>
                <w:rFonts w:eastAsia="Times New Roman" w:cs="Calibri"/>
                <w:b w:val="0"/>
                <w:color w:val="000000"/>
              </w:rPr>
              <w:t>Quality of workforce</w:t>
            </w:r>
          </w:p>
        </w:tc>
        <w:tc>
          <w:tcPr>
            <w:tcW w:w="2032" w:type="dxa"/>
            <w:tcBorders>
              <w:right w:val="single" w:sz="4" w:space="0" w:color="auto"/>
            </w:tcBorders>
          </w:tcPr>
          <w:p w:rsidR="00895A3D" w:rsidRPr="006C08D8" w:rsidRDefault="00895A3D" w:rsidP="004E49FE">
            <w:pPr>
              <w:jc w:val="center"/>
              <w:cnfStyle w:val="000000100000" w:firstRow="0" w:lastRow="0" w:firstColumn="0" w:lastColumn="0" w:oddVBand="0" w:evenVBand="0" w:oddHBand="1" w:evenHBand="0" w:firstRowFirstColumn="0" w:firstRowLastColumn="0" w:lastRowFirstColumn="0" w:lastRowLastColumn="0"/>
              <w:rPr>
                <w:color w:val="auto"/>
              </w:rPr>
            </w:pPr>
            <w:r w:rsidRPr="006C08D8">
              <w:rPr>
                <w:color w:val="auto"/>
              </w:rPr>
              <w:t>3.01(1.16)</w:t>
            </w:r>
          </w:p>
        </w:tc>
      </w:tr>
      <w:tr w:rsidR="00895A3D" w:rsidRPr="00376CD5" w:rsidTr="0034018E">
        <w:trPr>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895A3D" w:rsidRPr="0034018E" w:rsidRDefault="00895A3D" w:rsidP="004E49FE">
            <w:pPr>
              <w:ind w:left="40"/>
              <w:rPr>
                <w:rFonts w:eastAsia="Times New Roman" w:cs="Calibri"/>
                <w:b w:val="0"/>
                <w:bCs w:val="0"/>
                <w:color w:val="000000"/>
              </w:rPr>
            </w:pPr>
            <w:r w:rsidRPr="0034018E">
              <w:rPr>
                <w:rFonts w:eastAsia="Times New Roman" w:cs="Calibri"/>
                <w:b w:val="0"/>
                <w:color w:val="000000"/>
              </w:rPr>
              <w:t>State government incentives to business</w:t>
            </w:r>
          </w:p>
        </w:tc>
        <w:tc>
          <w:tcPr>
            <w:tcW w:w="2032" w:type="dxa"/>
            <w:tcBorders>
              <w:right w:val="single" w:sz="4" w:space="0" w:color="auto"/>
            </w:tcBorders>
          </w:tcPr>
          <w:p w:rsidR="00895A3D" w:rsidRPr="006C08D8" w:rsidRDefault="00895A3D" w:rsidP="004E49FE">
            <w:pPr>
              <w:jc w:val="center"/>
              <w:cnfStyle w:val="000000000000" w:firstRow="0" w:lastRow="0" w:firstColumn="0" w:lastColumn="0" w:oddVBand="0" w:evenVBand="0" w:oddHBand="0" w:evenHBand="0" w:firstRowFirstColumn="0" w:firstRowLastColumn="0" w:lastRowFirstColumn="0" w:lastRowLastColumn="0"/>
              <w:rPr>
                <w:color w:val="auto"/>
              </w:rPr>
            </w:pPr>
            <w:r w:rsidRPr="006C08D8">
              <w:rPr>
                <w:color w:val="auto"/>
              </w:rPr>
              <w:t>3.22(.973)</w:t>
            </w:r>
          </w:p>
        </w:tc>
      </w:tr>
      <w:tr w:rsidR="00895A3D" w:rsidRPr="00376CD5" w:rsidTr="0034018E">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895A3D" w:rsidRPr="0034018E" w:rsidRDefault="00895A3D" w:rsidP="004E49FE">
            <w:pPr>
              <w:ind w:left="40"/>
              <w:rPr>
                <w:rFonts w:eastAsia="Times New Roman" w:cs="Calibri"/>
                <w:b w:val="0"/>
                <w:bCs w:val="0"/>
                <w:color w:val="000000"/>
              </w:rPr>
            </w:pPr>
            <w:r w:rsidRPr="0034018E">
              <w:rPr>
                <w:rFonts w:eastAsia="Times New Roman" w:cs="Calibri"/>
                <w:b w:val="0"/>
                <w:color w:val="000000"/>
              </w:rPr>
              <w:t>Local zoning/permits and regulations</w:t>
            </w:r>
          </w:p>
        </w:tc>
        <w:tc>
          <w:tcPr>
            <w:tcW w:w="2032" w:type="dxa"/>
            <w:tcBorders>
              <w:right w:val="single" w:sz="4" w:space="0" w:color="auto"/>
            </w:tcBorders>
          </w:tcPr>
          <w:p w:rsidR="00895A3D" w:rsidRPr="006C08D8" w:rsidRDefault="00895A3D" w:rsidP="004E49FE">
            <w:pPr>
              <w:jc w:val="center"/>
              <w:cnfStyle w:val="000000100000" w:firstRow="0" w:lastRow="0" w:firstColumn="0" w:lastColumn="0" w:oddVBand="0" w:evenVBand="0" w:oddHBand="1" w:evenHBand="0" w:firstRowFirstColumn="0" w:firstRowLastColumn="0" w:lastRowFirstColumn="0" w:lastRowLastColumn="0"/>
              <w:rPr>
                <w:color w:val="auto"/>
              </w:rPr>
            </w:pPr>
            <w:r w:rsidRPr="006C08D8">
              <w:rPr>
                <w:color w:val="auto"/>
              </w:rPr>
              <w:t>3.50(.849)</w:t>
            </w:r>
          </w:p>
        </w:tc>
      </w:tr>
      <w:tr w:rsidR="00895A3D" w:rsidRPr="00376CD5" w:rsidTr="0034018E">
        <w:trPr>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shd w:val="clear" w:color="auto" w:fill="808080" w:themeFill="background1" w:themeFillShade="80"/>
          </w:tcPr>
          <w:p w:rsidR="00895A3D" w:rsidRPr="0034018E" w:rsidRDefault="00895A3D" w:rsidP="004E49FE">
            <w:pPr>
              <w:ind w:left="40"/>
              <w:rPr>
                <w:rFonts w:eastAsia="Times New Roman" w:cs="Calibri"/>
                <w:b w:val="0"/>
                <w:bCs w:val="0"/>
                <w:color w:val="000000"/>
              </w:rPr>
            </w:pPr>
          </w:p>
        </w:tc>
        <w:tc>
          <w:tcPr>
            <w:tcW w:w="2032" w:type="dxa"/>
            <w:tcBorders>
              <w:right w:val="single" w:sz="4" w:space="0" w:color="auto"/>
            </w:tcBorders>
            <w:shd w:val="clear" w:color="auto" w:fill="808080" w:themeFill="background1" w:themeFillShade="80"/>
          </w:tcPr>
          <w:p w:rsidR="00895A3D" w:rsidRPr="006C08D8" w:rsidRDefault="00895A3D" w:rsidP="004E49FE">
            <w:pPr>
              <w:jc w:val="center"/>
              <w:cnfStyle w:val="000000000000" w:firstRow="0" w:lastRow="0" w:firstColumn="0" w:lastColumn="0" w:oddVBand="0" w:evenVBand="0" w:oddHBand="0" w:evenHBand="0" w:firstRowFirstColumn="0" w:firstRowLastColumn="0" w:lastRowFirstColumn="0" w:lastRowLastColumn="0"/>
              <w:rPr>
                <w:color w:val="auto"/>
              </w:rPr>
            </w:pPr>
          </w:p>
        </w:tc>
      </w:tr>
      <w:tr w:rsidR="00895A3D" w:rsidRPr="00376CD5" w:rsidTr="0034018E">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895A3D" w:rsidRPr="0034018E" w:rsidRDefault="00895A3D" w:rsidP="004E49FE">
            <w:pPr>
              <w:ind w:left="40"/>
              <w:rPr>
                <w:rFonts w:eastAsia="Times New Roman" w:cs="Calibri"/>
                <w:b w:val="0"/>
                <w:bCs w:val="0"/>
                <w:color w:val="000000"/>
              </w:rPr>
            </w:pPr>
            <w:r w:rsidRPr="0034018E">
              <w:rPr>
                <w:rFonts w:eastAsia="Times New Roman" w:cs="Calibri"/>
                <w:b w:val="0"/>
                <w:color w:val="000000"/>
              </w:rPr>
              <w:t>State permits and regulations</w:t>
            </w:r>
          </w:p>
        </w:tc>
        <w:tc>
          <w:tcPr>
            <w:tcW w:w="2032" w:type="dxa"/>
            <w:tcBorders>
              <w:right w:val="single" w:sz="4" w:space="0" w:color="auto"/>
            </w:tcBorders>
          </w:tcPr>
          <w:p w:rsidR="00895A3D" w:rsidRPr="006C08D8" w:rsidRDefault="00895A3D" w:rsidP="004E49FE">
            <w:pPr>
              <w:jc w:val="center"/>
              <w:cnfStyle w:val="000000100000" w:firstRow="0" w:lastRow="0" w:firstColumn="0" w:lastColumn="0" w:oddVBand="0" w:evenVBand="0" w:oddHBand="1" w:evenHBand="0" w:firstRowFirstColumn="0" w:firstRowLastColumn="0" w:lastRowFirstColumn="0" w:lastRowLastColumn="0"/>
              <w:rPr>
                <w:color w:val="auto"/>
              </w:rPr>
            </w:pPr>
            <w:r w:rsidRPr="006C08D8">
              <w:rPr>
                <w:color w:val="auto"/>
              </w:rPr>
              <w:t>3.65(.814)</w:t>
            </w:r>
          </w:p>
        </w:tc>
      </w:tr>
      <w:tr w:rsidR="00895A3D" w:rsidRPr="00376CD5" w:rsidTr="0034018E">
        <w:trPr>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895A3D" w:rsidRPr="0034018E" w:rsidRDefault="00895A3D" w:rsidP="004E49FE">
            <w:pPr>
              <w:ind w:left="40"/>
              <w:rPr>
                <w:rFonts w:eastAsia="Times New Roman" w:cs="Calibri"/>
                <w:b w:val="0"/>
                <w:bCs w:val="0"/>
                <w:color w:val="000000"/>
              </w:rPr>
            </w:pPr>
            <w:r w:rsidRPr="0034018E">
              <w:rPr>
                <w:rFonts w:eastAsia="Times New Roman" w:cs="Calibri"/>
                <w:b w:val="0"/>
                <w:color w:val="000000"/>
              </w:rPr>
              <w:t>Total local taxes on business</w:t>
            </w:r>
          </w:p>
        </w:tc>
        <w:tc>
          <w:tcPr>
            <w:tcW w:w="2032" w:type="dxa"/>
            <w:tcBorders>
              <w:right w:val="single" w:sz="4" w:space="0" w:color="auto"/>
            </w:tcBorders>
          </w:tcPr>
          <w:p w:rsidR="00895A3D" w:rsidRPr="006C08D8" w:rsidRDefault="00895A3D" w:rsidP="004E49FE">
            <w:pPr>
              <w:jc w:val="center"/>
              <w:cnfStyle w:val="000000000000" w:firstRow="0" w:lastRow="0" w:firstColumn="0" w:lastColumn="0" w:oddVBand="0" w:evenVBand="0" w:oddHBand="0" w:evenHBand="0" w:firstRowFirstColumn="0" w:firstRowLastColumn="0" w:lastRowFirstColumn="0" w:lastRowLastColumn="0"/>
              <w:rPr>
                <w:color w:val="auto"/>
              </w:rPr>
            </w:pPr>
            <w:r w:rsidRPr="006C08D8">
              <w:rPr>
                <w:color w:val="auto"/>
              </w:rPr>
              <w:t>3.72(.976)</w:t>
            </w:r>
          </w:p>
        </w:tc>
      </w:tr>
      <w:tr w:rsidR="00895A3D" w:rsidRPr="00376CD5" w:rsidTr="0034018E">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895A3D" w:rsidRPr="0034018E" w:rsidRDefault="00895A3D" w:rsidP="004E49FE">
            <w:pPr>
              <w:ind w:left="40"/>
              <w:rPr>
                <w:rFonts w:eastAsia="Times New Roman" w:cs="Calibri"/>
                <w:b w:val="0"/>
                <w:bCs w:val="0"/>
                <w:color w:val="000000"/>
              </w:rPr>
            </w:pPr>
            <w:r w:rsidRPr="0034018E">
              <w:rPr>
                <w:rFonts w:eastAsia="Times New Roman" w:cs="Calibri"/>
                <w:b w:val="0"/>
                <w:color w:val="000000"/>
              </w:rPr>
              <w:t>State business climate and reputation</w:t>
            </w:r>
          </w:p>
        </w:tc>
        <w:tc>
          <w:tcPr>
            <w:tcW w:w="2032" w:type="dxa"/>
            <w:tcBorders>
              <w:right w:val="single" w:sz="4" w:space="0" w:color="auto"/>
            </w:tcBorders>
          </w:tcPr>
          <w:p w:rsidR="00895A3D" w:rsidRPr="006C08D8" w:rsidRDefault="00895A3D" w:rsidP="004E49FE">
            <w:pPr>
              <w:jc w:val="center"/>
              <w:cnfStyle w:val="000000100000" w:firstRow="0" w:lastRow="0" w:firstColumn="0" w:lastColumn="0" w:oddVBand="0" w:evenVBand="0" w:oddHBand="1" w:evenHBand="0" w:firstRowFirstColumn="0" w:firstRowLastColumn="0" w:lastRowFirstColumn="0" w:lastRowLastColumn="0"/>
              <w:rPr>
                <w:color w:val="auto"/>
              </w:rPr>
            </w:pPr>
            <w:r w:rsidRPr="006C08D8">
              <w:rPr>
                <w:color w:val="auto"/>
              </w:rPr>
              <w:t>3.81(1.17)</w:t>
            </w:r>
          </w:p>
        </w:tc>
      </w:tr>
      <w:tr w:rsidR="00895A3D" w:rsidRPr="00376CD5" w:rsidTr="0034018E">
        <w:trPr>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tcBorders>
          </w:tcPr>
          <w:p w:rsidR="00895A3D" w:rsidRPr="0034018E" w:rsidRDefault="00895A3D" w:rsidP="004E49FE">
            <w:pPr>
              <w:ind w:left="40"/>
              <w:rPr>
                <w:rFonts w:eastAsia="Times New Roman" w:cs="Calibri"/>
                <w:b w:val="0"/>
                <w:bCs w:val="0"/>
                <w:color w:val="000000"/>
              </w:rPr>
            </w:pPr>
            <w:r w:rsidRPr="0034018E">
              <w:rPr>
                <w:rFonts w:eastAsia="Times New Roman" w:cs="Calibri"/>
                <w:b w:val="0"/>
                <w:color w:val="000000"/>
              </w:rPr>
              <w:t>Workers compensation processes</w:t>
            </w:r>
          </w:p>
        </w:tc>
        <w:tc>
          <w:tcPr>
            <w:tcW w:w="2032" w:type="dxa"/>
            <w:tcBorders>
              <w:right w:val="single" w:sz="4" w:space="0" w:color="auto"/>
            </w:tcBorders>
          </w:tcPr>
          <w:p w:rsidR="00895A3D" w:rsidRPr="006C08D8" w:rsidRDefault="00895A3D" w:rsidP="004E49FE">
            <w:pPr>
              <w:jc w:val="center"/>
              <w:cnfStyle w:val="000000000000" w:firstRow="0" w:lastRow="0" w:firstColumn="0" w:lastColumn="0" w:oddVBand="0" w:evenVBand="0" w:oddHBand="0" w:evenHBand="0" w:firstRowFirstColumn="0" w:firstRowLastColumn="0" w:lastRowFirstColumn="0" w:lastRowLastColumn="0"/>
              <w:rPr>
                <w:color w:val="auto"/>
              </w:rPr>
            </w:pPr>
            <w:r w:rsidRPr="006C08D8">
              <w:rPr>
                <w:color w:val="auto"/>
              </w:rPr>
              <w:t>3.82(.969)</w:t>
            </w:r>
          </w:p>
        </w:tc>
      </w:tr>
      <w:tr w:rsidR="00895A3D" w:rsidRPr="00376CD5" w:rsidTr="0034018E">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846" w:type="dxa"/>
            <w:tcBorders>
              <w:left w:val="single" w:sz="4" w:space="0" w:color="auto"/>
              <w:bottom w:val="single" w:sz="4" w:space="0" w:color="auto"/>
            </w:tcBorders>
          </w:tcPr>
          <w:p w:rsidR="00895A3D" w:rsidRPr="0034018E" w:rsidRDefault="00895A3D" w:rsidP="004E49FE">
            <w:pPr>
              <w:ind w:left="40"/>
              <w:rPr>
                <w:rFonts w:eastAsia="Times New Roman" w:cs="Calibri"/>
                <w:b w:val="0"/>
                <w:bCs w:val="0"/>
                <w:color w:val="000000"/>
              </w:rPr>
            </w:pPr>
            <w:r w:rsidRPr="0034018E">
              <w:rPr>
                <w:rFonts w:eastAsia="Times New Roman" w:cs="Calibri"/>
                <w:b w:val="0"/>
                <w:color w:val="000000"/>
              </w:rPr>
              <w:t>Total state taxes on business</w:t>
            </w:r>
          </w:p>
        </w:tc>
        <w:tc>
          <w:tcPr>
            <w:tcW w:w="2032" w:type="dxa"/>
            <w:tcBorders>
              <w:bottom w:val="single" w:sz="4" w:space="0" w:color="auto"/>
              <w:right w:val="single" w:sz="4" w:space="0" w:color="auto"/>
            </w:tcBorders>
          </w:tcPr>
          <w:p w:rsidR="00895A3D" w:rsidRPr="006C08D8" w:rsidRDefault="00895A3D" w:rsidP="004E49FE">
            <w:pPr>
              <w:jc w:val="center"/>
              <w:cnfStyle w:val="000000100000" w:firstRow="0" w:lastRow="0" w:firstColumn="0" w:lastColumn="0" w:oddVBand="0" w:evenVBand="0" w:oddHBand="1" w:evenHBand="0" w:firstRowFirstColumn="0" w:firstRowLastColumn="0" w:lastRowFirstColumn="0" w:lastRowLastColumn="0"/>
              <w:rPr>
                <w:color w:val="auto"/>
              </w:rPr>
            </w:pPr>
            <w:r w:rsidRPr="006C08D8">
              <w:rPr>
                <w:color w:val="auto"/>
              </w:rPr>
              <w:t>4.05(1.0)</w:t>
            </w:r>
          </w:p>
        </w:tc>
      </w:tr>
    </w:tbl>
    <w:p w:rsidR="000338E0" w:rsidRPr="00376CD5" w:rsidRDefault="000338E0" w:rsidP="002E4C02">
      <w:pPr>
        <w:spacing w:after="0"/>
        <w:rPr>
          <w:rFonts w:cs="Times New Roman"/>
          <w:szCs w:val="24"/>
        </w:rPr>
      </w:pPr>
    </w:p>
    <w:p w:rsidR="000338E0" w:rsidRPr="00376CD5" w:rsidRDefault="000338E0" w:rsidP="002E4C02">
      <w:pPr>
        <w:spacing w:after="0"/>
        <w:rPr>
          <w:rFonts w:cs="Times New Roman"/>
          <w:i/>
          <w:szCs w:val="24"/>
        </w:rPr>
      </w:pPr>
      <w:r w:rsidRPr="00376CD5">
        <w:rPr>
          <w:rFonts w:cs="Times New Roman"/>
          <w:i/>
          <w:szCs w:val="24"/>
        </w:rPr>
        <w:t>How does the Illinois State Fair affect your organization?</w:t>
      </w:r>
    </w:p>
    <w:p w:rsidR="00545DCB" w:rsidRPr="00376CD5" w:rsidRDefault="00055CD3" w:rsidP="00055CD3">
      <w:pPr>
        <w:spacing w:after="0"/>
        <w:rPr>
          <w:rFonts w:eastAsia="Calibri" w:cs="Times New Roman"/>
        </w:rPr>
      </w:pPr>
      <w:r w:rsidRPr="00376CD5">
        <w:rPr>
          <w:rFonts w:cs="Times New Roman"/>
          <w:szCs w:val="24"/>
        </w:rPr>
        <w:t>According to a 2011 Economic Impact Study conducted by the University of Illinois’ Regional Economics Applications Laboratory in the Institute of Government and Public Affairs, the 2011 Illinois State Fair generated $47 million in business revenue. In an effort to examine how the Illinois State Fair affects Sangamon County businesses, s</w:t>
      </w:r>
      <w:r w:rsidR="00545DCB" w:rsidRPr="00376CD5">
        <w:rPr>
          <w:rFonts w:cs="Times New Roman"/>
          <w:szCs w:val="24"/>
        </w:rPr>
        <w:t>urvey respondents were asked two questions regarding the possible effect that the Illinois State Fair may have on their b</w:t>
      </w:r>
      <w:r w:rsidRPr="00376CD5">
        <w:rPr>
          <w:rFonts w:cs="Times New Roman"/>
          <w:szCs w:val="24"/>
        </w:rPr>
        <w:t xml:space="preserve">usiness/organization. First, they were asked whether </w:t>
      </w:r>
      <w:r w:rsidR="00545DCB" w:rsidRPr="00376CD5">
        <w:rPr>
          <w:rFonts w:eastAsia="Calibri" w:cs="Times New Roman"/>
        </w:rPr>
        <w:t xml:space="preserve">the Illinois State Fair has no economic impact, an economic impact of less than $15,000, an economic impact between $15,000 and $30,000, an economic impact between $30,001 and $50,000, or an economic impact of more than $50,000 on </w:t>
      </w:r>
      <w:r w:rsidRPr="00376CD5">
        <w:rPr>
          <w:rFonts w:eastAsia="Calibri" w:cs="Times New Roman"/>
        </w:rPr>
        <w:t>their</w:t>
      </w:r>
      <w:r w:rsidR="00545DCB" w:rsidRPr="00376CD5">
        <w:rPr>
          <w:rFonts w:eastAsia="Calibri" w:cs="Times New Roman"/>
        </w:rPr>
        <w:t xml:space="preserve"> own business/organization</w:t>
      </w:r>
      <w:r w:rsidRPr="00376CD5">
        <w:rPr>
          <w:rFonts w:eastAsia="Calibri" w:cs="Times New Roman"/>
        </w:rPr>
        <w:t xml:space="preserve">. Three-fourths of survey respondents report that the Illinois State Fair has no economic impact on their own business/organization. Fourteen percent of employers report that the Illinois State Fair has an economic impact of less than $15,000 on their business/organization. </w:t>
      </w:r>
      <w:r w:rsidR="006C08D8">
        <w:rPr>
          <w:rFonts w:eastAsia="Calibri" w:cs="Times New Roman"/>
        </w:rPr>
        <w:t xml:space="preserve">Only </w:t>
      </w:r>
      <w:r w:rsidRPr="00376CD5">
        <w:rPr>
          <w:rFonts w:eastAsia="Calibri" w:cs="Times New Roman"/>
        </w:rPr>
        <w:t xml:space="preserve">7.4 percent of Sangamon County </w:t>
      </w:r>
      <w:r w:rsidRPr="00376CD5">
        <w:rPr>
          <w:rFonts w:eastAsia="Calibri" w:cs="Times New Roman"/>
        </w:rPr>
        <w:lastRenderedPageBreak/>
        <w:t xml:space="preserve">employers report that </w:t>
      </w:r>
      <w:r w:rsidR="006C08D8">
        <w:rPr>
          <w:rFonts w:eastAsia="Calibri" w:cs="Times New Roman"/>
        </w:rPr>
        <w:t>an</w:t>
      </w:r>
      <w:r w:rsidRPr="00376CD5">
        <w:rPr>
          <w:rFonts w:eastAsia="Calibri" w:cs="Times New Roman"/>
        </w:rPr>
        <w:t xml:space="preserve"> economic impact of the Illinois State Fair on their business/organization of more than $15,000 (see figure</w:t>
      </w:r>
      <w:r w:rsidR="001455CC">
        <w:rPr>
          <w:rFonts w:eastAsia="Calibri" w:cs="Times New Roman"/>
        </w:rPr>
        <w:t xml:space="preserve"> 8</w:t>
      </w:r>
      <w:r w:rsidRPr="00376CD5">
        <w:rPr>
          <w:rFonts w:eastAsia="Calibri" w:cs="Times New Roman"/>
        </w:rPr>
        <w:t>).</w:t>
      </w:r>
      <w:r w:rsidR="0034018E">
        <w:rPr>
          <w:rFonts w:eastAsia="Calibri" w:cs="Times New Roman"/>
        </w:rPr>
        <w:t xml:space="preserve"> In addition, 58.8 percent of survey respondents from the accommodations/food/entertainment/recreation sector report that the Illinois State Fair has no economic impact on their business.</w:t>
      </w:r>
    </w:p>
    <w:p w:rsidR="00055CD3" w:rsidRPr="00376CD5" w:rsidRDefault="00055CD3" w:rsidP="00055CD3">
      <w:pPr>
        <w:spacing w:after="0"/>
        <w:rPr>
          <w:rFonts w:eastAsia="Calibri" w:cs="Times New Roman"/>
        </w:rPr>
      </w:pPr>
      <w:r w:rsidRPr="00376CD5">
        <w:rPr>
          <w:noProof/>
        </w:rPr>
        <w:drawing>
          <wp:inline distT="0" distB="0" distL="0" distR="0" wp14:anchorId="12DE0AB7" wp14:editId="6B4DC04E">
            <wp:extent cx="5934075" cy="3695700"/>
            <wp:effectExtent l="0" t="0" r="9525"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55CD3" w:rsidRPr="00376CD5" w:rsidRDefault="00055CD3" w:rsidP="00055CD3">
      <w:pPr>
        <w:spacing w:after="0"/>
        <w:rPr>
          <w:rFonts w:eastAsia="Calibri" w:cs="Times New Roman"/>
        </w:rPr>
      </w:pPr>
    </w:p>
    <w:p w:rsidR="00055CD3" w:rsidRPr="00376CD5" w:rsidRDefault="00055CD3" w:rsidP="00055CD3">
      <w:pPr>
        <w:spacing w:after="0"/>
        <w:rPr>
          <w:rFonts w:eastAsia="Calibri" w:cs="Times New Roman"/>
        </w:rPr>
      </w:pPr>
      <w:r w:rsidRPr="00376CD5">
        <w:rPr>
          <w:rFonts w:eastAsia="Calibri" w:cs="Times New Roman"/>
        </w:rPr>
        <w:t>Secondly, respondents were asked whether their organization experience</w:t>
      </w:r>
      <w:r w:rsidR="006C08D8">
        <w:rPr>
          <w:rFonts w:eastAsia="Calibri" w:cs="Times New Roman"/>
        </w:rPr>
        <w:t>d</w:t>
      </w:r>
      <w:r w:rsidRPr="00376CD5">
        <w:rPr>
          <w:rFonts w:eastAsia="Calibri" w:cs="Times New Roman"/>
        </w:rPr>
        <w:t xml:space="preserve"> an increased number of employees (including part-time workers), expanded hours of operation, or an increase in gross revenue/sales due to the Illinois State Fair. Slightly less than 8 percent of local employers report that they experience an increase in gross revenue/sales, 2.4 percent experience</w:t>
      </w:r>
      <w:r w:rsidR="006C08D8">
        <w:rPr>
          <w:rFonts w:eastAsia="Calibri" w:cs="Times New Roman"/>
        </w:rPr>
        <w:t>d</w:t>
      </w:r>
      <w:r w:rsidRPr="00376CD5">
        <w:rPr>
          <w:rFonts w:eastAsia="Calibri" w:cs="Times New Roman"/>
        </w:rPr>
        <w:t xml:space="preserve"> expanded hours of operation, and only 1 percent </w:t>
      </w:r>
      <w:proofErr w:type="gramStart"/>
      <w:r w:rsidRPr="00376CD5">
        <w:rPr>
          <w:rFonts w:eastAsia="Calibri" w:cs="Times New Roman"/>
        </w:rPr>
        <w:t>report</w:t>
      </w:r>
      <w:proofErr w:type="gramEnd"/>
      <w:r w:rsidRPr="00376CD5">
        <w:rPr>
          <w:rFonts w:eastAsia="Calibri" w:cs="Times New Roman"/>
        </w:rPr>
        <w:t xml:space="preserve"> that they increase</w:t>
      </w:r>
      <w:r w:rsidR="006C08D8">
        <w:rPr>
          <w:rFonts w:eastAsia="Calibri" w:cs="Times New Roman"/>
        </w:rPr>
        <w:t>d</w:t>
      </w:r>
      <w:r w:rsidRPr="00376CD5">
        <w:rPr>
          <w:rFonts w:eastAsia="Calibri" w:cs="Times New Roman"/>
        </w:rPr>
        <w:t xml:space="preserve"> their number of employees.</w:t>
      </w:r>
    </w:p>
    <w:p w:rsidR="00545DCB" w:rsidRPr="00376CD5" w:rsidRDefault="00545DCB" w:rsidP="00545DCB">
      <w:pPr>
        <w:spacing w:after="0" w:line="240" w:lineRule="auto"/>
        <w:rPr>
          <w:rFonts w:eastAsia="Calibri" w:cs="Times New Roman"/>
        </w:rPr>
      </w:pPr>
    </w:p>
    <w:p w:rsidR="00545DCB" w:rsidRPr="00376CD5" w:rsidRDefault="00545DCB" w:rsidP="002E4C02">
      <w:pPr>
        <w:spacing w:after="0"/>
        <w:rPr>
          <w:rFonts w:cs="Times New Roman"/>
          <w:szCs w:val="24"/>
        </w:rPr>
      </w:pPr>
    </w:p>
    <w:p w:rsidR="00137C55" w:rsidRPr="00376CD5" w:rsidRDefault="00137C55" w:rsidP="002E4C02">
      <w:pPr>
        <w:spacing w:after="0"/>
        <w:rPr>
          <w:rFonts w:cs="Times New Roman"/>
          <w:sz w:val="24"/>
          <w:szCs w:val="24"/>
        </w:rPr>
      </w:pPr>
    </w:p>
    <w:p w:rsidR="00DB4DEE" w:rsidRPr="00376CD5" w:rsidRDefault="00905C73" w:rsidP="00DB4DEE">
      <w:pPr>
        <w:spacing w:after="0" w:line="240" w:lineRule="auto"/>
        <w:jc w:val="center"/>
        <w:rPr>
          <w:rFonts w:eastAsia="Calibri" w:cs="Times New Roman"/>
          <w:b/>
        </w:rPr>
      </w:pPr>
      <w:r w:rsidRPr="00376CD5">
        <w:rPr>
          <w:rFonts w:cs="Times New Roman"/>
          <w:i/>
          <w:sz w:val="24"/>
          <w:szCs w:val="24"/>
        </w:rPr>
        <w:br w:type="page"/>
      </w:r>
      <w:r w:rsidR="00DB4DEE" w:rsidRPr="00376CD5">
        <w:rPr>
          <w:rFonts w:eastAsia="Calibri" w:cs="Times New Roman"/>
          <w:b/>
        </w:rPr>
        <w:lastRenderedPageBreak/>
        <w:t>Sangamon County Economic Outlook Survey</w:t>
      </w:r>
    </w:p>
    <w:p w:rsidR="00DB4DEE" w:rsidRPr="00376CD5" w:rsidRDefault="00DB4DEE" w:rsidP="00DB4DEE">
      <w:pPr>
        <w:spacing w:after="0" w:line="240" w:lineRule="auto"/>
        <w:jc w:val="center"/>
        <w:rPr>
          <w:rFonts w:eastAsia="Calibri" w:cs="Times New Roman"/>
          <w:b/>
          <w:i/>
        </w:rPr>
      </w:pPr>
      <w:r w:rsidRPr="00376CD5">
        <w:rPr>
          <w:rFonts w:eastAsia="Calibri" w:cs="Times New Roman"/>
          <w:b/>
        </w:rPr>
        <w:t>(</w:t>
      </w:r>
      <w:r w:rsidRPr="00376CD5">
        <w:rPr>
          <w:rFonts w:eastAsia="Calibri" w:cs="Times New Roman"/>
          <w:b/>
          <w:i/>
        </w:rPr>
        <w:t>N=207)</w:t>
      </w:r>
    </w:p>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rFonts w:eastAsia="Calibri" w:cs="Times New Roman"/>
          <w:u w:val="single"/>
        </w:rPr>
      </w:pPr>
      <w:r w:rsidRPr="00376CD5">
        <w:rPr>
          <w:rFonts w:eastAsia="Calibri" w:cs="Times New Roman"/>
          <w:u w:val="single"/>
        </w:rPr>
        <w:t>Section 1: Sangamon County Economic Expectations</w:t>
      </w:r>
    </w:p>
    <w:p w:rsidR="00DB4DEE" w:rsidRPr="00376CD5" w:rsidRDefault="00DB4DEE" w:rsidP="00DB4DEE">
      <w:pPr>
        <w:spacing w:after="0" w:line="240" w:lineRule="auto"/>
        <w:rPr>
          <w:rFonts w:eastAsia="Calibri" w:cs="Times New Roman"/>
        </w:rPr>
      </w:pPr>
      <w:r w:rsidRPr="00376CD5">
        <w:rPr>
          <w:rFonts w:eastAsia="Calibri" w:cs="Times New Roman"/>
        </w:rPr>
        <w:t xml:space="preserve">Over the next 12 months, what are your expectations for </w:t>
      </w:r>
      <w:r w:rsidRPr="00376CD5">
        <w:rPr>
          <w:rFonts w:eastAsia="Calibri" w:cs="Times New Roman"/>
          <w:u w:val="single"/>
        </w:rPr>
        <w:t>the local economy</w:t>
      </w:r>
      <w:r w:rsidRPr="00376CD5">
        <w:rPr>
          <w:rFonts w:eastAsia="Calibri" w:cs="Times New Roman"/>
        </w:rPr>
        <w:t xml:space="preserve"> in Sangamon County? Do you think each aspect of the local economy will see a large decline, small decline, stay the same, small increase, or large increase?</w:t>
      </w:r>
    </w:p>
    <w:p w:rsidR="00DB4DEE" w:rsidRPr="00376CD5" w:rsidRDefault="00DB4DEE" w:rsidP="00DB4DEE">
      <w:pPr>
        <w:spacing w:after="0" w:line="240" w:lineRule="auto"/>
        <w:rPr>
          <w:rFonts w:eastAsia="Calibri" w:cs="Times New Roman"/>
          <w:i/>
        </w:rPr>
      </w:pPr>
    </w:p>
    <w:p w:rsidR="00DB4DEE" w:rsidRPr="00376CD5" w:rsidRDefault="00DB4DEE" w:rsidP="00DB4DEE">
      <w:pPr>
        <w:spacing w:after="0" w:line="240" w:lineRule="auto"/>
        <w:rPr>
          <w:rFonts w:eastAsia="Calibri" w:cs="Times New Roman"/>
        </w:rPr>
      </w:pPr>
      <w:r w:rsidRPr="00376CD5">
        <w:rPr>
          <w:rFonts w:eastAsia="Calibri" w:cs="Times New Roman"/>
        </w:rPr>
        <w:t>Overall employment (Intensity index score: +9.5)</w:t>
      </w:r>
    </w:p>
    <w:tbl>
      <w:tblPr>
        <w:tblStyle w:val="LightShading1"/>
        <w:tblW w:w="9972" w:type="dxa"/>
        <w:tblInd w:w="108" w:type="dxa"/>
        <w:tblLook w:val="04A0" w:firstRow="1" w:lastRow="0" w:firstColumn="1" w:lastColumn="0" w:noHBand="0" w:noVBand="1"/>
      </w:tblPr>
      <w:tblGrid>
        <w:gridCol w:w="4866"/>
        <w:gridCol w:w="5106"/>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866" w:type="dxa"/>
          </w:tcPr>
          <w:p w:rsidR="00DB4DEE" w:rsidRPr="00376CD5" w:rsidRDefault="00DB4DEE" w:rsidP="00545DCB">
            <w:pPr>
              <w:rPr>
                <w:rFonts w:eastAsia="Calibri" w:cs="Times New Roman"/>
                <w:b w:val="0"/>
              </w:rPr>
            </w:pPr>
          </w:p>
        </w:tc>
        <w:tc>
          <w:tcPr>
            <w:tcW w:w="5106"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i/>
              </w:rPr>
            </w:pPr>
            <w:r w:rsidRPr="00376CD5">
              <w:rPr>
                <w:rFonts w:eastAsia="Calibri" w:cs="Times New Roman"/>
                <w:b w:val="0"/>
              </w:rPr>
              <w:t>Valid percent(</w:t>
            </w:r>
            <w:r w:rsidRPr="00376CD5">
              <w:rPr>
                <w:rFonts w:eastAsia="Calibri" w:cs="Times New Roman"/>
                <w:b w:val="0"/>
                <w:i/>
              </w:rPr>
              <w:t>n)</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866" w:type="dxa"/>
          </w:tcPr>
          <w:p w:rsidR="00DB4DEE" w:rsidRPr="00376CD5" w:rsidRDefault="00DB4DEE" w:rsidP="00545DCB">
            <w:pPr>
              <w:rPr>
                <w:rFonts w:eastAsia="Calibri" w:cs="Times New Roman"/>
                <w:b w:val="0"/>
              </w:rPr>
            </w:pPr>
            <w:r w:rsidRPr="00376CD5">
              <w:rPr>
                <w:rFonts w:eastAsia="Calibri" w:cs="Times New Roman"/>
                <w:b w:val="0"/>
              </w:rPr>
              <w:t>Large decline</w:t>
            </w:r>
          </w:p>
        </w:tc>
        <w:tc>
          <w:tcPr>
            <w:tcW w:w="5106"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0%(0)</w:t>
            </w:r>
          </w:p>
        </w:tc>
      </w:tr>
      <w:tr w:rsidR="00DB4DEE" w:rsidRPr="00376CD5" w:rsidTr="00545DCB">
        <w:trPr>
          <w:trHeight w:val="312"/>
        </w:trPr>
        <w:tc>
          <w:tcPr>
            <w:cnfStyle w:val="001000000000" w:firstRow="0" w:lastRow="0" w:firstColumn="1" w:lastColumn="0" w:oddVBand="0" w:evenVBand="0" w:oddHBand="0" w:evenHBand="0" w:firstRowFirstColumn="0" w:firstRowLastColumn="0" w:lastRowFirstColumn="0" w:lastRowLastColumn="0"/>
            <w:tcW w:w="4866" w:type="dxa"/>
          </w:tcPr>
          <w:p w:rsidR="00DB4DEE" w:rsidRPr="00376CD5" w:rsidRDefault="00DB4DEE" w:rsidP="00545DCB">
            <w:pPr>
              <w:rPr>
                <w:rFonts w:eastAsia="Calibri" w:cs="Times New Roman"/>
                <w:b w:val="0"/>
              </w:rPr>
            </w:pPr>
            <w:r w:rsidRPr="00376CD5">
              <w:rPr>
                <w:rFonts w:eastAsia="Calibri" w:cs="Times New Roman"/>
                <w:b w:val="0"/>
              </w:rPr>
              <w:t>Small decline</w:t>
            </w:r>
          </w:p>
        </w:tc>
        <w:tc>
          <w:tcPr>
            <w:tcW w:w="5106"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14.6%(30)</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866" w:type="dxa"/>
          </w:tcPr>
          <w:p w:rsidR="00DB4DEE" w:rsidRPr="00376CD5" w:rsidRDefault="00DB4DEE" w:rsidP="00545DCB">
            <w:pPr>
              <w:rPr>
                <w:rFonts w:eastAsia="Calibri" w:cs="Times New Roman"/>
                <w:b w:val="0"/>
              </w:rPr>
            </w:pPr>
            <w:r w:rsidRPr="00376CD5">
              <w:rPr>
                <w:rFonts w:eastAsia="Calibri" w:cs="Times New Roman"/>
                <w:b w:val="0"/>
              </w:rPr>
              <w:t>Stay the same</w:t>
            </w:r>
          </w:p>
        </w:tc>
        <w:tc>
          <w:tcPr>
            <w:tcW w:w="5106"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52.4%(108)</w:t>
            </w:r>
          </w:p>
        </w:tc>
      </w:tr>
      <w:tr w:rsidR="00DB4DEE" w:rsidRPr="00376CD5" w:rsidTr="00545DCB">
        <w:trPr>
          <w:trHeight w:val="312"/>
        </w:trPr>
        <w:tc>
          <w:tcPr>
            <w:cnfStyle w:val="001000000000" w:firstRow="0" w:lastRow="0" w:firstColumn="1" w:lastColumn="0" w:oddVBand="0" w:evenVBand="0" w:oddHBand="0" w:evenHBand="0" w:firstRowFirstColumn="0" w:firstRowLastColumn="0" w:lastRowFirstColumn="0" w:lastRowLastColumn="0"/>
            <w:tcW w:w="4866" w:type="dxa"/>
          </w:tcPr>
          <w:p w:rsidR="00DB4DEE" w:rsidRPr="00376CD5" w:rsidRDefault="00DB4DEE" w:rsidP="00545DCB">
            <w:pPr>
              <w:rPr>
                <w:rFonts w:eastAsia="Calibri" w:cs="Times New Roman"/>
                <w:b w:val="0"/>
              </w:rPr>
            </w:pPr>
            <w:r w:rsidRPr="00376CD5">
              <w:rPr>
                <w:rFonts w:eastAsia="Calibri" w:cs="Times New Roman"/>
                <w:b w:val="0"/>
              </w:rPr>
              <w:t>Small increase</w:t>
            </w:r>
          </w:p>
        </w:tc>
        <w:tc>
          <w:tcPr>
            <w:tcW w:w="5106"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32.5%(67)</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866" w:type="dxa"/>
          </w:tcPr>
          <w:p w:rsidR="00DB4DEE" w:rsidRPr="00376CD5" w:rsidRDefault="00DB4DEE" w:rsidP="00545DCB">
            <w:pPr>
              <w:rPr>
                <w:rFonts w:eastAsia="Calibri" w:cs="Times New Roman"/>
                <w:b w:val="0"/>
              </w:rPr>
            </w:pPr>
            <w:r w:rsidRPr="00376CD5">
              <w:rPr>
                <w:rFonts w:eastAsia="Calibri" w:cs="Times New Roman"/>
                <w:b w:val="0"/>
              </w:rPr>
              <w:t>Large increase</w:t>
            </w:r>
          </w:p>
        </w:tc>
        <w:tc>
          <w:tcPr>
            <w:tcW w:w="5106"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0.5%(1)</w:t>
            </w:r>
          </w:p>
        </w:tc>
      </w:tr>
    </w:tbl>
    <w:p w:rsidR="00DB4DEE" w:rsidRPr="00376CD5" w:rsidRDefault="00DB4DEE" w:rsidP="00DB4DEE">
      <w:pPr>
        <w:spacing w:after="0" w:line="240" w:lineRule="auto"/>
      </w:pPr>
    </w:p>
    <w:p w:rsidR="00DB4DEE" w:rsidRPr="00376CD5" w:rsidRDefault="00DB4DEE" w:rsidP="00DB4DEE">
      <w:pPr>
        <w:spacing w:after="0" w:line="240" w:lineRule="auto"/>
        <w:rPr>
          <w:rFonts w:eastAsia="Calibri" w:cs="Times New Roman"/>
        </w:rPr>
      </w:pPr>
      <w:r w:rsidRPr="00376CD5">
        <w:rPr>
          <w:rFonts w:eastAsia="Calibri" w:cs="Times New Roman"/>
        </w:rPr>
        <w:t>Capital investment (Intensity index score: +11.0)</w:t>
      </w:r>
    </w:p>
    <w:tbl>
      <w:tblPr>
        <w:tblStyle w:val="LightShading1"/>
        <w:tblW w:w="9972" w:type="dxa"/>
        <w:tblInd w:w="108" w:type="dxa"/>
        <w:tblLook w:val="04A0" w:firstRow="1" w:lastRow="0" w:firstColumn="1" w:lastColumn="0" w:noHBand="0" w:noVBand="1"/>
      </w:tblPr>
      <w:tblGrid>
        <w:gridCol w:w="4878"/>
        <w:gridCol w:w="5094"/>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878" w:type="dxa"/>
          </w:tcPr>
          <w:p w:rsidR="00DB4DEE" w:rsidRPr="00376CD5" w:rsidRDefault="00DB4DEE" w:rsidP="00545DCB">
            <w:pPr>
              <w:jc w:val="center"/>
              <w:rPr>
                <w:rFonts w:eastAsia="Calibri" w:cs="Times New Roman"/>
                <w:b w:val="0"/>
              </w:rPr>
            </w:pPr>
          </w:p>
        </w:tc>
        <w:tc>
          <w:tcPr>
            <w:tcW w:w="5094"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4878" w:type="dxa"/>
          </w:tcPr>
          <w:p w:rsidR="00DB4DEE" w:rsidRPr="00376CD5" w:rsidRDefault="00DB4DEE" w:rsidP="00545DCB">
            <w:pPr>
              <w:rPr>
                <w:rFonts w:eastAsia="Calibri" w:cs="Times New Roman"/>
                <w:b w:val="0"/>
              </w:rPr>
            </w:pPr>
            <w:r w:rsidRPr="00376CD5">
              <w:rPr>
                <w:rFonts w:eastAsia="Calibri" w:cs="Times New Roman"/>
                <w:b w:val="0"/>
              </w:rPr>
              <w:t>Large decline</w:t>
            </w:r>
          </w:p>
        </w:tc>
        <w:tc>
          <w:tcPr>
            <w:tcW w:w="5094"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1.5%(3)</w:t>
            </w:r>
          </w:p>
        </w:tc>
      </w:tr>
      <w:tr w:rsidR="00DB4DEE" w:rsidRPr="00376CD5" w:rsidTr="00545DCB">
        <w:trPr>
          <w:trHeight w:val="322"/>
        </w:trPr>
        <w:tc>
          <w:tcPr>
            <w:cnfStyle w:val="001000000000" w:firstRow="0" w:lastRow="0" w:firstColumn="1" w:lastColumn="0" w:oddVBand="0" w:evenVBand="0" w:oddHBand="0" w:evenHBand="0" w:firstRowFirstColumn="0" w:firstRowLastColumn="0" w:lastRowFirstColumn="0" w:lastRowLastColumn="0"/>
            <w:tcW w:w="4878" w:type="dxa"/>
          </w:tcPr>
          <w:p w:rsidR="00DB4DEE" w:rsidRPr="00376CD5" w:rsidRDefault="00DB4DEE" w:rsidP="00545DCB">
            <w:pPr>
              <w:rPr>
                <w:rFonts w:eastAsia="Calibri" w:cs="Times New Roman"/>
                <w:b w:val="0"/>
              </w:rPr>
            </w:pPr>
            <w:r w:rsidRPr="00376CD5">
              <w:rPr>
                <w:rFonts w:eastAsia="Calibri" w:cs="Times New Roman"/>
                <w:b w:val="0"/>
              </w:rPr>
              <w:t>Small decline</w:t>
            </w:r>
          </w:p>
        </w:tc>
        <w:tc>
          <w:tcPr>
            <w:tcW w:w="5094"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12.2%(24)</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878" w:type="dxa"/>
          </w:tcPr>
          <w:p w:rsidR="00DB4DEE" w:rsidRPr="00376CD5" w:rsidRDefault="00DB4DEE" w:rsidP="00545DCB">
            <w:pPr>
              <w:rPr>
                <w:rFonts w:eastAsia="Calibri" w:cs="Times New Roman"/>
                <w:b w:val="0"/>
              </w:rPr>
            </w:pPr>
            <w:r w:rsidRPr="00376CD5">
              <w:rPr>
                <w:rFonts w:eastAsia="Calibri" w:cs="Times New Roman"/>
                <w:b w:val="0"/>
              </w:rPr>
              <w:t>Stay the same</w:t>
            </w:r>
          </w:p>
        </w:tc>
        <w:tc>
          <w:tcPr>
            <w:tcW w:w="5094"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50.0%(98)</w:t>
            </w:r>
          </w:p>
        </w:tc>
      </w:tr>
      <w:tr w:rsidR="00DB4DEE" w:rsidRPr="00376CD5" w:rsidTr="00545DCB">
        <w:trPr>
          <w:trHeight w:val="322"/>
        </w:trPr>
        <w:tc>
          <w:tcPr>
            <w:cnfStyle w:val="001000000000" w:firstRow="0" w:lastRow="0" w:firstColumn="1" w:lastColumn="0" w:oddVBand="0" w:evenVBand="0" w:oddHBand="0" w:evenHBand="0" w:firstRowFirstColumn="0" w:firstRowLastColumn="0" w:lastRowFirstColumn="0" w:lastRowLastColumn="0"/>
            <w:tcW w:w="4878" w:type="dxa"/>
          </w:tcPr>
          <w:p w:rsidR="00DB4DEE" w:rsidRPr="00376CD5" w:rsidRDefault="00DB4DEE" w:rsidP="00545DCB">
            <w:pPr>
              <w:rPr>
                <w:rFonts w:eastAsia="Calibri" w:cs="Times New Roman"/>
                <w:b w:val="0"/>
              </w:rPr>
            </w:pPr>
            <w:r w:rsidRPr="00376CD5">
              <w:rPr>
                <w:rFonts w:eastAsia="Calibri" w:cs="Times New Roman"/>
                <w:b w:val="0"/>
              </w:rPr>
              <w:t>Small increase</w:t>
            </w:r>
          </w:p>
        </w:tc>
        <w:tc>
          <w:tcPr>
            <w:tcW w:w="5094"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35.2%(69)</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878" w:type="dxa"/>
          </w:tcPr>
          <w:p w:rsidR="00DB4DEE" w:rsidRPr="00376CD5" w:rsidRDefault="00DB4DEE" w:rsidP="00545DCB">
            <w:pPr>
              <w:rPr>
                <w:rFonts w:eastAsia="Calibri" w:cs="Times New Roman"/>
                <w:b w:val="0"/>
              </w:rPr>
            </w:pPr>
            <w:r w:rsidRPr="00376CD5">
              <w:rPr>
                <w:rFonts w:eastAsia="Calibri" w:cs="Times New Roman"/>
                <w:b w:val="0"/>
              </w:rPr>
              <w:t>Large increase</w:t>
            </w:r>
          </w:p>
        </w:tc>
        <w:tc>
          <w:tcPr>
            <w:tcW w:w="5094"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1.0%(2)</w:t>
            </w:r>
          </w:p>
        </w:tc>
      </w:tr>
    </w:tbl>
    <w:p w:rsidR="00DB4DEE" w:rsidRPr="00376CD5" w:rsidRDefault="00DB4DEE" w:rsidP="00DB4DEE">
      <w:pPr>
        <w:spacing w:after="0" w:line="240" w:lineRule="auto"/>
      </w:pPr>
    </w:p>
    <w:p w:rsidR="00DB4DEE" w:rsidRPr="00376CD5" w:rsidRDefault="00DB4DEE" w:rsidP="00DB4DEE">
      <w:pPr>
        <w:spacing w:after="0" w:line="240" w:lineRule="auto"/>
        <w:rPr>
          <w:rFonts w:eastAsia="Calibri" w:cs="Times New Roman"/>
        </w:rPr>
      </w:pPr>
      <w:r w:rsidRPr="00376CD5">
        <w:rPr>
          <w:rFonts w:eastAsia="Calibri" w:cs="Times New Roman"/>
        </w:rPr>
        <w:t>Interest rates (Intensity index score: +21.8)</w:t>
      </w:r>
    </w:p>
    <w:tbl>
      <w:tblPr>
        <w:tblStyle w:val="LightShading1"/>
        <w:tblW w:w="9972" w:type="dxa"/>
        <w:tblInd w:w="108" w:type="dxa"/>
        <w:tblLook w:val="04A0" w:firstRow="1" w:lastRow="0" w:firstColumn="1" w:lastColumn="0" w:noHBand="0" w:noVBand="1"/>
      </w:tblPr>
      <w:tblGrid>
        <w:gridCol w:w="4901"/>
        <w:gridCol w:w="5071"/>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901" w:type="dxa"/>
          </w:tcPr>
          <w:p w:rsidR="00DB4DEE" w:rsidRPr="00376CD5" w:rsidRDefault="00DB4DEE" w:rsidP="00545DCB">
            <w:pPr>
              <w:rPr>
                <w:rFonts w:eastAsia="Calibri" w:cs="Times New Roman"/>
                <w:b w:val="0"/>
              </w:rPr>
            </w:pPr>
          </w:p>
        </w:tc>
        <w:tc>
          <w:tcPr>
            <w:tcW w:w="5071"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 (</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901" w:type="dxa"/>
          </w:tcPr>
          <w:p w:rsidR="00DB4DEE" w:rsidRPr="00376CD5" w:rsidRDefault="00DB4DEE" w:rsidP="00545DCB">
            <w:pPr>
              <w:rPr>
                <w:rFonts w:eastAsia="Calibri" w:cs="Times New Roman"/>
                <w:b w:val="0"/>
              </w:rPr>
            </w:pPr>
            <w:r w:rsidRPr="00376CD5">
              <w:rPr>
                <w:rFonts w:eastAsia="Calibri" w:cs="Times New Roman"/>
                <w:b w:val="0"/>
              </w:rPr>
              <w:t>Large decline</w:t>
            </w:r>
          </w:p>
        </w:tc>
        <w:tc>
          <w:tcPr>
            <w:tcW w:w="5071"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0%(0)</w:t>
            </w:r>
          </w:p>
        </w:tc>
      </w:tr>
      <w:tr w:rsidR="00DB4DEE" w:rsidRPr="00376CD5" w:rsidTr="00545DCB">
        <w:trPr>
          <w:trHeight w:val="314"/>
        </w:trPr>
        <w:tc>
          <w:tcPr>
            <w:cnfStyle w:val="001000000000" w:firstRow="0" w:lastRow="0" w:firstColumn="1" w:lastColumn="0" w:oddVBand="0" w:evenVBand="0" w:oddHBand="0" w:evenHBand="0" w:firstRowFirstColumn="0" w:firstRowLastColumn="0" w:lastRowFirstColumn="0" w:lastRowLastColumn="0"/>
            <w:tcW w:w="4901" w:type="dxa"/>
          </w:tcPr>
          <w:p w:rsidR="00DB4DEE" w:rsidRPr="00376CD5" w:rsidRDefault="00DB4DEE" w:rsidP="00545DCB">
            <w:pPr>
              <w:rPr>
                <w:rFonts w:eastAsia="Calibri" w:cs="Times New Roman"/>
                <w:b w:val="0"/>
              </w:rPr>
            </w:pPr>
            <w:r w:rsidRPr="00376CD5">
              <w:rPr>
                <w:rFonts w:eastAsia="Calibri" w:cs="Times New Roman"/>
                <w:b w:val="0"/>
              </w:rPr>
              <w:t>Small decline</w:t>
            </w:r>
          </w:p>
        </w:tc>
        <w:tc>
          <w:tcPr>
            <w:tcW w:w="5071"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4.6%(9)</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901" w:type="dxa"/>
          </w:tcPr>
          <w:p w:rsidR="00DB4DEE" w:rsidRPr="00376CD5" w:rsidRDefault="00DB4DEE" w:rsidP="00545DCB">
            <w:pPr>
              <w:rPr>
                <w:rFonts w:eastAsia="Calibri" w:cs="Times New Roman"/>
                <w:b w:val="0"/>
              </w:rPr>
            </w:pPr>
            <w:r w:rsidRPr="00376CD5">
              <w:rPr>
                <w:rFonts w:eastAsia="Calibri" w:cs="Times New Roman"/>
                <w:b w:val="0"/>
              </w:rPr>
              <w:t>Stay the same</w:t>
            </w:r>
          </w:p>
        </w:tc>
        <w:tc>
          <w:tcPr>
            <w:tcW w:w="5071"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49.7%(97)</w:t>
            </w:r>
          </w:p>
        </w:tc>
      </w:tr>
      <w:tr w:rsidR="00DB4DEE" w:rsidRPr="00376CD5" w:rsidTr="00545DCB">
        <w:trPr>
          <w:trHeight w:val="314"/>
        </w:trPr>
        <w:tc>
          <w:tcPr>
            <w:cnfStyle w:val="001000000000" w:firstRow="0" w:lastRow="0" w:firstColumn="1" w:lastColumn="0" w:oddVBand="0" w:evenVBand="0" w:oddHBand="0" w:evenHBand="0" w:firstRowFirstColumn="0" w:firstRowLastColumn="0" w:lastRowFirstColumn="0" w:lastRowLastColumn="0"/>
            <w:tcW w:w="4901" w:type="dxa"/>
          </w:tcPr>
          <w:p w:rsidR="00DB4DEE" w:rsidRPr="00376CD5" w:rsidRDefault="00DB4DEE" w:rsidP="00545DCB">
            <w:pPr>
              <w:rPr>
                <w:rFonts w:eastAsia="Calibri" w:cs="Times New Roman"/>
                <w:b w:val="0"/>
              </w:rPr>
            </w:pPr>
            <w:r w:rsidRPr="00376CD5">
              <w:rPr>
                <w:rFonts w:eastAsia="Calibri" w:cs="Times New Roman"/>
                <w:b w:val="0"/>
              </w:rPr>
              <w:t>Small increase</w:t>
            </w:r>
          </w:p>
        </w:tc>
        <w:tc>
          <w:tcPr>
            <w:tcW w:w="5071"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43.1%(84)</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901" w:type="dxa"/>
          </w:tcPr>
          <w:p w:rsidR="00DB4DEE" w:rsidRPr="00376CD5" w:rsidRDefault="00DB4DEE" w:rsidP="00545DCB">
            <w:pPr>
              <w:rPr>
                <w:rFonts w:eastAsia="Calibri" w:cs="Times New Roman"/>
                <w:b w:val="0"/>
              </w:rPr>
            </w:pPr>
            <w:r w:rsidRPr="00376CD5">
              <w:rPr>
                <w:rFonts w:eastAsia="Calibri" w:cs="Times New Roman"/>
                <w:b w:val="0"/>
              </w:rPr>
              <w:t>Large increase</w:t>
            </w:r>
          </w:p>
        </w:tc>
        <w:tc>
          <w:tcPr>
            <w:tcW w:w="5071"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2.6%(5)</w:t>
            </w:r>
          </w:p>
        </w:tc>
      </w:tr>
    </w:tbl>
    <w:p w:rsidR="00DB4DEE" w:rsidRPr="00376CD5" w:rsidRDefault="00DB4DEE" w:rsidP="00DB4DEE">
      <w:pPr>
        <w:spacing w:after="0" w:line="240" w:lineRule="auto"/>
      </w:pPr>
    </w:p>
    <w:p w:rsidR="00DB4DEE" w:rsidRPr="00376CD5" w:rsidRDefault="00DB4DEE" w:rsidP="00DB4DEE">
      <w:pPr>
        <w:spacing w:after="0" w:line="240" w:lineRule="auto"/>
        <w:rPr>
          <w:rFonts w:eastAsia="Calibri" w:cs="Times New Roman"/>
        </w:rPr>
      </w:pPr>
      <w:r w:rsidRPr="00376CD5">
        <w:rPr>
          <w:rFonts w:eastAsia="Calibri" w:cs="Times New Roman"/>
        </w:rPr>
        <w:t>Gross sales/revenue (Intensity index score:</w:t>
      </w:r>
      <w:r w:rsidR="002D4806">
        <w:rPr>
          <w:rFonts w:eastAsia="Calibri" w:cs="Times New Roman"/>
        </w:rPr>
        <w:t xml:space="preserve"> </w:t>
      </w:r>
      <w:r w:rsidRPr="00376CD5">
        <w:rPr>
          <w:rFonts w:eastAsia="Calibri" w:cs="Times New Roman"/>
        </w:rPr>
        <w:t>+19.0</w:t>
      </w:r>
      <w:r w:rsidR="002D4806">
        <w:rPr>
          <w:rFonts w:eastAsia="Calibri" w:cs="Times New Roman"/>
        </w:rPr>
        <w:t>)</w:t>
      </w:r>
    </w:p>
    <w:tbl>
      <w:tblPr>
        <w:tblStyle w:val="LightShading1"/>
        <w:tblW w:w="9951" w:type="dxa"/>
        <w:tblInd w:w="108" w:type="dxa"/>
        <w:tblLook w:val="04A0" w:firstRow="1" w:lastRow="0" w:firstColumn="1" w:lastColumn="0" w:noHBand="0" w:noVBand="1"/>
      </w:tblPr>
      <w:tblGrid>
        <w:gridCol w:w="4860"/>
        <w:gridCol w:w="5091"/>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60" w:type="dxa"/>
          </w:tcPr>
          <w:p w:rsidR="00DB4DEE" w:rsidRPr="00376CD5" w:rsidRDefault="00DB4DEE" w:rsidP="00545DCB">
            <w:pPr>
              <w:rPr>
                <w:rFonts w:eastAsia="Calibri" w:cs="Times New Roman"/>
                <w:b w:val="0"/>
              </w:rPr>
            </w:pPr>
          </w:p>
        </w:tc>
        <w:tc>
          <w:tcPr>
            <w:tcW w:w="5091"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860" w:type="dxa"/>
          </w:tcPr>
          <w:p w:rsidR="00DB4DEE" w:rsidRPr="00376CD5" w:rsidRDefault="00DB4DEE" w:rsidP="00545DCB">
            <w:pPr>
              <w:rPr>
                <w:rFonts w:eastAsia="Calibri" w:cs="Times New Roman"/>
                <w:b w:val="0"/>
              </w:rPr>
            </w:pPr>
            <w:r w:rsidRPr="00376CD5">
              <w:rPr>
                <w:rFonts w:eastAsia="Calibri" w:cs="Times New Roman"/>
                <w:b w:val="0"/>
              </w:rPr>
              <w:t>Large decline</w:t>
            </w:r>
          </w:p>
        </w:tc>
        <w:tc>
          <w:tcPr>
            <w:tcW w:w="5091"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0%(0)</w:t>
            </w:r>
          </w:p>
        </w:tc>
      </w:tr>
      <w:tr w:rsidR="00DB4DEE" w:rsidRPr="00376CD5" w:rsidTr="00545DCB">
        <w:trPr>
          <w:trHeight w:val="317"/>
        </w:trPr>
        <w:tc>
          <w:tcPr>
            <w:cnfStyle w:val="001000000000" w:firstRow="0" w:lastRow="0" w:firstColumn="1" w:lastColumn="0" w:oddVBand="0" w:evenVBand="0" w:oddHBand="0" w:evenHBand="0" w:firstRowFirstColumn="0" w:firstRowLastColumn="0" w:lastRowFirstColumn="0" w:lastRowLastColumn="0"/>
            <w:tcW w:w="4860" w:type="dxa"/>
          </w:tcPr>
          <w:p w:rsidR="00DB4DEE" w:rsidRPr="00376CD5" w:rsidRDefault="00DB4DEE" w:rsidP="00545DCB">
            <w:pPr>
              <w:rPr>
                <w:rFonts w:eastAsia="Calibri" w:cs="Times New Roman"/>
                <w:b w:val="0"/>
              </w:rPr>
            </w:pPr>
            <w:r w:rsidRPr="00376CD5">
              <w:rPr>
                <w:rFonts w:eastAsia="Calibri" w:cs="Times New Roman"/>
                <w:b w:val="0"/>
              </w:rPr>
              <w:t>Small decline</w:t>
            </w:r>
          </w:p>
        </w:tc>
        <w:tc>
          <w:tcPr>
            <w:tcW w:w="5091"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12.7%(25)</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60" w:type="dxa"/>
          </w:tcPr>
          <w:p w:rsidR="00DB4DEE" w:rsidRPr="00376CD5" w:rsidRDefault="00DB4DEE" w:rsidP="00545DCB">
            <w:pPr>
              <w:rPr>
                <w:rFonts w:eastAsia="Calibri" w:cs="Times New Roman"/>
                <w:b w:val="0"/>
              </w:rPr>
            </w:pPr>
            <w:r w:rsidRPr="00376CD5">
              <w:rPr>
                <w:rFonts w:eastAsia="Calibri" w:cs="Times New Roman"/>
                <w:b w:val="0"/>
              </w:rPr>
              <w:t>Stay the same</w:t>
            </w:r>
          </w:p>
        </w:tc>
        <w:tc>
          <w:tcPr>
            <w:tcW w:w="5091"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37.6%(74)</w:t>
            </w:r>
          </w:p>
        </w:tc>
      </w:tr>
      <w:tr w:rsidR="00DB4DEE" w:rsidRPr="00376CD5" w:rsidTr="00545DCB">
        <w:trPr>
          <w:trHeight w:val="317"/>
        </w:trPr>
        <w:tc>
          <w:tcPr>
            <w:cnfStyle w:val="001000000000" w:firstRow="0" w:lastRow="0" w:firstColumn="1" w:lastColumn="0" w:oddVBand="0" w:evenVBand="0" w:oddHBand="0" w:evenHBand="0" w:firstRowFirstColumn="0" w:firstRowLastColumn="0" w:lastRowFirstColumn="0" w:lastRowLastColumn="0"/>
            <w:tcW w:w="4860" w:type="dxa"/>
          </w:tcPr>
          <w:p w:rsidR="00DB4DEE" w:rsidRPr="00376CD5" w:rsidRDefault="00DB4DEE" w:rsidP="00545DCB">
            <w:pPr>
              <w:rPr>
                <w:rFonts w:eastAsia="Calibri" w:cs="Times New Roman"/>
                <w:b w:val="0"/>
              </w:rPr>
            </w:pPr>
            <w:r w:rsidRPr="00376CD5">
              <w:rPr>
                <w:rFonts w:eastAsia="Calibri" w:cs="Times New Roman"/>
                <w:b w:val="0"/>
              </w:rPr>
              <w:t>Small increase</w:t>
            </w:r>
          </w:p>
        </w:tc>
        <w:tc>
          <w:tcPr>
            <w:tcW w:w="5091"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48.7%(96)</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60" w:type="dxa"/>
          </w:tcPr>
          <w:p w:rsidR="00DB4DEE" w:rsidRPr="00376CD5" w:rsidRDefault="00DB4DEE" w:rsidP="00545DCB">
            <w:pPr>
              <w:rPr>
                <w:rFonts w:eastAsia="Calibri" w:cs="Times New Roman"/>
                <w:b w:val="0"/>
              </w:rPr>
            </w:pPr>
            <w:r w:rsidRPr="00376CD5">
              <w:rPr>
                <w:rFonts w:eastAsia="Calibri" w:cs="Times New Roman"/>
                <w:b w:val="0"/>
              </w:rPr>
              <w:t>Large increase</w:t>
            </w:r>
          </w:p>
        </w:tc>
        <w:tc>
          <w:tcPr>
            <w:tcW w:w="5091"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1.0%(2)</w:t>
            </w:r>
          </w:p>
        </w:tc>
      </w:tr>
    </w:tbl>
    <w:p w:rsidR="00DB4DEE" w:rsidRPr="00376CD5" w:rsidRDefault="00DB4DEE" w:rsidP="00DB4DEE">
      <w:pPr>
        <w:spacing w:after="0" w:line="240" w:lineRule="auto"/>
      </w:pPr>
    </w:p>
    <w:p w:rsidR="00DB4DEE" w:rsidRPr="00376CD5" w:rsidRDefault="00DB4DEE" w:rsidP="00DB4DEE">
      <w:pPr>
        <w:spacing w:after="0" w:line="240" w:lineRule="auto"/>
      </w:pPr>
    </w:p>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rFonts w:eastAsia="Calibri" w:cs="Times New Roman"/>
        </w:rPr>
      </w:pPr>
      <w:r w:rsidRPr="00376CD5">
        <w:rPr>
          <w:rFonts w:eastAsia="Calibri" w:cs="Times New Roman"/>
        </w:rPr>
        <w:lastRenderedPageBreak/>
        <w:t>Inflation/price of goods (Intensity index score: +39.7)</w:t>
      </w:r>
    </w:p>
    <w:tbl>
      <w:tblPr>
        <w:tblStyle w:val="LightShading1"/>
        <w:tblW w:w="9972" w:type="dxa"/>
        <w:tblInd w:w="108" w:type="dxa"/>
        <w:tblLook w:val="04A0" w:firstRow="1" w:lastRow="0" w:firstColumn="1" w:lastColumn="0" w:noHBand="0" w:noVBand="1"/>
      </w:tblPr>
      <w:tblGrid>
        <w:gridCol w:w="5005"/>
        <w:gridCol w:w="4967"/>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005" w:type="dxa"/>
          </w:tcPr>
          <w:p w:rsidR="00DB4DEE" w:rsidRPr="00376CD5" w:rsidRDefault="00DB4DEE" w:rsidP="00545DCB">
            <w:pPr>
              <w:rPr>
                <w:rFonts w:eastAsia="Calibri" w:cs="Times New Roman"/>
                <w:b w:val="0"/>
              </w:rPr>
            </w:pPr>
          </w:p>
        </w:tc>
        <w:tc>
          <w:tcPr>
            <w:tcW w:w="4967"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005" w:type="dxa"/>
          </w:tcPr>
          <w:p w:rsidR="00DB4DEE" w:rsidRPr="00376CD5" w:rsidRDefault="00DB4DEE" w:rsidP="00545DCB">
            <w:pPr>
              <w:rPr>
                <w:rFonts w:eastAsia="Calibri" w:cs="Times New Roman"/>
                <w:b w:val="0"/>
              </w:rPr>
            </w:pPr>
            <w:r w:rsidRPr="00376CD5">
              <w:rPr>
                <w:rFonts w:eastAsia="Calibri" w:cs="Times New Roman"/>
                <w:b w:val="0"/>
              </w:rPr>
              <w:t>Large decline</w:t>
            </w:r>
          </w:p>
        </w:tc>
        <w:tc>
          <w:tcPr>
            <w:tcW w:w="4967"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0%(0)</w:t>
            </w:r>
          </w:p>
        </w:tc>
      </w:tr>
      <w:tr w:rsidR="00DB4DEE" w:rsidRPr="00376CD5" w:rsidTr="00545DCB">
        <w:trPr>
          <w:trHeight w:val="319"/>
        </w:trPr>
        <w:tc>
          <w:tcPr>
            <w:cnfStyle w:val="001000000000" w:firstRow="0" w:lastRow="0" w:firstColumn="1" w:lastColumn="0" w:oddVBand="0" w:evenVBand="0" w:oddHBand="0" w:evenHBand="0" w:firstRowFirstColumn="0" w:firstRowLastColumn="0" w:lastRowFirstColumn="0" w:lastRowLastColumn="0"/>
            <w:tcW w:w="5005" w:type="dxa"/>
          </w:tcPr>
          <w:p w:rsidR="00DB4DEE" w:rsidRPr="00376CD5" w:rsidRDefault="00DB4DEE" w:rsidP="00545DCB">
            <w:pPr>
              <w:rPr>
                <w:rFonts w:eastAsia="Calibri" w:cs="Times New Roman"/>
                <w:b w:val="0"/>
              </w:rPr>
            </w:pPr>
            <w:r w:rsidRPr="00376CD5">
              <w:rPr>
                <w:rFonts w:eastAsia="Calibri" w:cs="Times New Roman"/>
                <w:b w:val="0"/>
              </w:rPr>
              <w:t>Small decline</w:t>
            </w:r>
          </w:p>
        </w:tc>
        <w:tc>
          <w:tcPr>
            <w:tcW w:w="4967"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1.5%(3)</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005" w:type="dxa"/>
          </w:tcPr>
          <w:p w:rsidR="00DB4DEE" w:rsidRPr="00376CD5" w:rsidRDefault="00DB4DEE" w:rsidP="00545DCB">
            <w:pPr>
              <w:rPr>
                <w:rFonts w:eastAsia="Calibri" w:cs="Times New Roman"/>
                <w:b w:val="0"/>
              </w:rPr>
            </w:pPr>
            <w:r w:rsidRPr="00376CD5">
              <w:rPr>
                <w:rFonts w:eastAsia="Calibri" w:cs="Times New Roman"/>
                <w:b w:val="0"/>
              </w:rPr>
              <w:t>Stay the same</w:t>
            </w:r>
          </w:p>
        </w:tc>
        <w:tc>
          <w:tcPr>
            <w:tcW w:w="4967"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25.1%(51)</w:t>
            </w:r>
          </w:p>
        </w:tc>
      </w:tr>
      <w:tr w:rsidR="00DB4DEE" w:rsidRPr="00376CD5" w:rsidTr="00545DCB">
        <w:trPr>
          <w:trHeight w:val="319"/>
        </w:trPr>
        <w:tc>
          <w:tcPr>
            <w:cnfStyle w:val="001000000000" w:firstRow="0" w:lastRow="0" w:firstColumn="1" w:lastColumn="0" w:oddVBand="0" w:evenVBand="0" w:oddHBand="0" w:evenHBand="0" w:firstRowFirstColumn="0" w:firstRowLastColumn="0" w:lastRowFirstColumn="0" w:lastRowLastColumn="0"/>
            <w:tcW w:w="5005" w:type="dxa"/>
          </w:tcPr>
          <w:p w:rsidR="00DB4DEE" w:rsidRPr="00376CD5" w:rsidRDefault="00DB4DEE" w:rsidP="00545DCB">
            <w:pPr>
              <w:rPr>
                <w:rFonts w:eastAsia="Calibri" w:cs="Times New Roman"/>
                <w:b w:val="0"/>
              </w:rPr>
            </w:pPr>
            <w:r w:rsidRPr="00376CD5">
              <w:rPr>
                <w:rFonts w:eastAsia="Calibri" w:cs="Times New Roman"/>
                <w:b w:val="0"/>
              </w:rPr>
              <w:t>Small increase</w:t>
            </w:r>
          </w:p>
        </w:tc>
        <w:tc>
          <w:tcPr>
            <w:tcW w:w="4967"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66.0%(134)</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005" w:type="dxa"/>
          </w:tcPr>
          <w:p w:rsidR="00DB4DEE" w:rsidRPr="00376CD5" w:rsidRDefault="00DB4DEE" w:rsidP="00545DCB">
            <w:pPr>
              <w:rPr>
                <w:rFonts w:eastAsia="Calibri" w:cs="Times New Roman"/>
                <w:b w:val="0"/>
              </w:rPr>
            </w:pPr>
            <w:r w:rsidRPr="00376CD5">
              <w:rPr>
                <w:rFonts w:eastAsia="Calibri" w:cs="Times New Roman"/>
                <w:b w:val="0"/>
              </w:rPr>
              <w:t>Large increase</w:t>
            </w:r>
          </w:p>
        </w:tc>
        <w:tc>
          <w:tcPr>
            <w:tcW w:w="4967"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7.4%(15)</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rFonts w:eastAsia="Calibri" w:cs="Times New Roman"/>
        </w:rPr>
      </w:pPr>
      <w:r w:rsidRPr="00376CD5">
        <w:rPr>
          <w:rFonts w:eastAsia="Calibri" w:cs="Times New Roman"/>
        </w:rPr>
        <w:t>Contributions to non-profits (Intensity index score: -11.4)</w:t>
      </w:r>
    </w:p>
    <w:tbl>
      <w:tblPr>
        <w:tblStyle w:val="LightShading1"/>
        <w:tblW w:w="9972" w:type="dxa"/>
        <w:tblInd w:w="108" w:type="dxa"/>
        <w:tblLook w:val="04A0" w:firstRow="1" w:lastRow="0" w:firstColumn="1" w:lastColumn="0" w:noHBand="0" w:noVBand="1"/>
      </w:tblPr>
      <w:tblGrid>
        <w:gridCol w:w="5042"/>
        <w:gridCol w:w="4930"/>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042" w:type="dxa"/>
          </w:tcPr>
          <w:p w:rsidR="00DB4DEE" w:rsidRPr="00376CD5" w:rsidRDefault="00DB4DEE" w:rsidP="00545DCB">
            <w:pPr>
              <w:rPr>
                <w:rFonts w:eastAsia="Calibri" w:cs="Times New Roman"/>
                <w:b w:val="0"/>
              </w:rPr>
            </w:pPr>
          </w:p>
        </w:tc>
        <w:tc>
          <w:tcPr>
            <w:tcW w:w="4930"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5042" w:type="dxa"/>
          </w:tcPr>
          <w:p w:rsidR="00DB4DEE" w:rsidRPr="00376CD5" w:rsidRDefault="00DB4DEE" w:rsidP="00545DCB">
            <w:pPr>
              <w:rPr>
                <w:rFonts w:eastAsia="Calibri" w:cs="Times New Roman"/>
                <w:b w:val="0"/>
              </w:rPr>
            </w:pPr>
            <w:r w:rsidRPr="00376CD5">
              <w:rPr>
                <w:rFonts w:eastAsia="Calibri" w:cs="Times New Roman"/>
                <w:b w:val="0"/>
              </w:rPr>
              <w:t>Large decline</w:t>
            </w:r>
          </w:p>
        </w:tc>
        <w:tc>
          <w:tcPr>
            <w:tcW w:w="493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3.0%(6)</w:t>
            </w:r>
          </w:p>
        </w:tc>
      </w:tr>
      <w:tr w:rsidR="00DB4DEE" w:rsidRPr="00376CD5" w:rsidTr="00545DCB">
        <w:trPr>
          <w:trHeight w:val="329"/>
        </w:trPr>
        <w:tc>
          <w:tcPr>
            <w:cnfStyle w:val="001000000000" w:firstRow="0" w:lastRow="0" w:firstColumn="1" w:lastColumn="0" w:oddVBand="0" w:evenVBand="0" w:oddHBand="0" w:evenHBand="0" w:firstRowFirstColumn="0" w:firstRowLastColumn="0" w:lastRowFirstColumn="0" w:lastRowLastColumn="0"/>
            <w:tcW w:w="5042" w:type="dxa"/>
          </w:tcPr>
          <w:p w:rsidR="00DB4DEE" w:rsidRPr="00376CD5" w:rsidRDefault="00DB4DEE" w:rsidP="00545DCB">
            <w:pPr>
              <w:rPr>
                <w:rFonts w:eastAsia="Calibri" w:cs="Times New Roman"/>
                <w:b w:val="0"/>
              </w:rPr>
            </w:pPr>
            <w:r w:rsidRPr="00376CD5">
              <w:rPr>
                <w:rFonts w:eastAsia="Calibri" w:cs="Times New Roman"/>
                <w:b w:val="0"/>
              </w:rPr>
              <w:t>Small decline</w:t>
            </w:r>
          </w:p>
        </w:tc>
        <w:tc>
          <w:tcPr>
            <w:tcW w:w="4930"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30.2%(61)</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042" w:type="dxa"/>
          </w:tcPr>
          <w:p w:rsidR="00DB4DEE" w:rsidRPr="00376CD5" w:rsidRDefault="00DB4DEE" w:rsidP="00545DCB">
            <w:pPr>
              <w:rPr>
                <w:rFonts w:eastAsia="Calibri" w:cs="Times New Roman"/>
                <w:b w:val="0"/>
              </w:rPr>
            </w:pPr>
            <w:r w:rsidRPr="00376CD5">
              <w:rPr>
                <w:rFonts w:eastAsia="Calibri" w:cs="Times New Roman"/>
                <w:b w:val="0"/>
              </w:rPr>
              <w:t>Stay the same</w:t>
            </w:r>
          </w:p>
        </w:tc>
        <w:tc>
          <w:tcPr>
            <w:tcW w:w="493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54.0%(109)</w:t>
            </w:r>
          </w:p>
        </w:tc>
      </w:tr>
      <w:tr w:rsidR="00DB4DEE" w:rsidRPr="00376CD5" w:rsidTr="00545DCB">
        <w:trPr>
          <w:trHeight w:val="329"/>
        </w:trPr>
        <w:tc>
          <w:tcPr>
            <w:cnfStyle w:val="001000000000" w:firstRow="0" w:lastRow="0" w:firstColumn="1" w:lastColumn="0" w:oddVBand="0" w:evenVBand="0" w:oddHBand="0" w:evenHBand="0" w:firstRowFirstColumn="0" w:firstRowLastColumn="0" w:lastRowFirstColumn="0" w:lastRowLastColumn="0"/>
            <w:tcW w:w="5042" w:type="dxa"/>
          </w:tcPr>
          <w:p w:rsidR="00DB4DEE" w:rsidRPr="00376CD5" w:rsidRDefault="00DB4DEE" w:rsidP="00545DCB">
            <w:pPr>
              <w:rPr>
                <w:rFonts w:eastAsia="Calibri" w:cs="Times New Roman"/>
                <w:b w:val="0"/>
              </w:rPr>
            </w:pPr>
            <w:r w:rsidRPr="00376CD5">
              <w:rPr>
                <w:rFonts w:eastAsia="Calibri" w:cs="Times New Roman"/>
                <w:b w:val="0"/>
              </w:rPr>
              <w:t>Small increase</w:t>
            </w:r>
          </w:p>
        </w:tc>
        <w:tc>
          <w:tcPr>
            <w:tcW w:w="4930"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12.4%(25)</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042" w:type="dxa"/>
          </w:tcPr>
          <w:p w:rsidR="00DB4DEE" w:rsidRPr="00376CD5" w:rsidRDefault="00DB4DEE" w:rsidP="00545DCB">
            <w:pPr>
              <w:rPr>
                <w:rFonts w:eastAsia="Calibri" w:cs="Times New Roman"/>
                <w:b w:val="0"/>
              </w:rPr>
            </w:pPr>
            <w:r w:rsidRPr="00376CD5">
              <w:rPr>
                <w:rFonts w:eastAsia="Calibri" w:cs="Times New Roman"/>
                <w:b w:val="0"/>
              </w:rPr>
              <w:t>Large increase</w:t>
            </w:r>
          </w:p>
        </w:tc>
        <w:tc>
          <w:tcPr>
            <w:tcW w:w="493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0.5%(1)</w:t>
            </w:r>
          </w:p>
        </w:tc>
      </w:tr>
    </w:tbl>
    <w:p w:rsidR="00DB4DEE" w:rsidRPr="00376CD5" w:rsidRDefault="00DB4DEE" w:rsidP="00DB4DEE">
      <w:pPr>
        <w:spacing w:after="0" w:line="240" w:lineRule="auto"/>
      </w:pPr>
    </w:p>
    <w:p w:rsidR="00DB4DEE" w:rsidRPr="00376CD5" w:rsidRDefault="00DB4DEE" w:rsidP="00DB4DEE">
      <w:pPr>
        <w:spacing w:after="0" w:line="240" w:lineRule="auto"/>
        <w:rPr>
          <w:rFonts w:eastAsia="Calibri" w:cs="Times New Roman"/>
        </w:rPr>
      </w:pPr>
      <w:r w:rsidRPr="00376CD5">
        <w:rPr>
          <w:rFonts w:eastAsia="Calibri" w:cs="Times New Roman"/>
        </w:rPr>
        <w:t>The overall economy (Intensity index score: +7.8</w:t>
      </w:r>
      <w:r w:rsidR="002D4806">
        <w:rPr>
          <w:rFonts w:eastAsia="Calibri" w:cs="Times New Roman"/>
        </w:rPr>
        <w:t>)</w:t>
      </w:r>
    </w:p>
    <w:tbl>
      <w:tblPr>
        <w:tblStyle w:val="LightShading1"/>
        <w:tblW w:w="9972" w:type="dxa"/>
        <w:tblInd w:w="108" w:type="dxa"/>
        <w:tblLook w:val="04A0" w:firstRow="1" w:lastRow="0" w:firstColumn="1" w:lastColumn="0" w:noHBand="0" w:noVBand="1"/>
      </w:tblPr>
      <w:tblGrid>
        <w:gridCol w:w="5057"/>
        <w:gridCol w:w="4915"/>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57" w:type="dxa"/>
          </w:tcPr>
          <w:p w:rsidR="00DB4DEE" w:rsidRPr="00376CD5" w:rsidRDefault="00DB4DEE" w:rsidP="00545DCB">
            <w:pPr>
              <w:rPr>
                <w:rFonts w:eastAsia="Calibri" w:cs="Times New Roman"/>
                <w:b w:val="0"/>
              </w:rPr>
            </w:pPr>
          </w:p>
        </w:tc>
        <w:tc>
          <w:tcPr>
            <w:tcW w:w="4915"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057" w:type="dxa"/>
          </w:tcPr>
          <w:p w:rsidR="00DB4DEE" w:rsidRPr="00376CD5" w:rsidRDefault="00DB4DEE" w:rsidP="00545DCB">
            <w:pPr>
              <w:rPr>
                <w:rFonts w:eastAsia="Calibri" w:cs="Times New Roman"/>
                <w:b w:val="0"/>
              </w:rPr>
            </w:pPr>
            <w:r w:rsidRPr="00376CD5">
              <w:rPr>
                <w:rFonts w:eastAsia="Calibri" w:cs="Times New Roman"/>
                <w:b w:val="0"/>
              </w:rPr>
              <w:t>Large decline</w:t>
            </w:r>
          </w:p>
        </w:tc>
        <w:tc>
          <w:tcPr>
            <w:tcW w:w="491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1.5%(3)</w:t>
            </w:r>
          </w:p>
        </w:tc>
      </w:tr>
      <w:tr w:rsidR="00DB4DEE" w:rsidRPr="00376CD5" w:rsidTr="00545DCB">
        <w:trPr>
          <w:trHeight w:val="314"/>
        </w:trPr>
        <w:tc>
          <w:tcPr>
            <w:cnfStyle w:val="001000000000" w:firstRow="0" w:lastRow="0" w:firstColumn="1" w:lastColumn="0" w:oddVBand="0" w:evenVBand="0" w:oddHBand="0" w:evenHBand="0" w:firstRowFirstColumn="0" w:firstRowLastColumn="0" w:lastRowFirstColumn="0" w:lastRowLastColumn="0"/>
            <w:tcW w:w="5057" w:type="dxa"/>
          </w:tcPr>
          <w:p w:rsidR="00DB4DEE" w:rsidRPr="00376CD5" w:rsidRDefault="00DB4DEE" w:rsidP="00545DCB">
            <w:pPr>
              <w:rPr>
                <w:rFonts w:eastAsia="Calibri" w:cs="Times New Roman"/>
                <w:b w:val="0"/>
              </w:rPr>
            </w:pPr>
            <w:r w:rsidRPr="00376CD5">
              <w:rPr>
                <w:rFonts w:eastAsia="Calibri" w:cs="Times New Roman"/>
                <w:b w:val="0"/>
              </w:rPr>
              <w:t>Small decline</w:t>
            </w:r>
          </w:p>
        </w:tc>
        <w:tc>
          <w:tcPr>
            <w:tcW w:w="491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18.5%(38)</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57" w:type="dxa"/>
          </w:tcPr>
          <w:p w:rsidR="00DB4DEE" w:rsidRPr="00376CD5" w:rsidRDefault="00DB4DEE" w:rsidP="00545DCB">
            <w:pPr>
              <w:rPr>
                <w:rFonts w:eastAsia="Calibri" w:cs="Times New Roman"/>
                <w:b w:val="0"/>
              </w:rPr>
            </w:pPr>
            <w:r w:rsidRPr="00376CD5">
              <w:rPr>
                <w:rFonts w:eastAsia="Calibri" w:cs="Times New Roman"/>
                <w:b w:val="0"/>
              </w:rPr>
              <w:t>Stay the same</w:t>
            </w:r>
          </w:p>
        </w:tc>
        <w:tc>
          <w:tcPr>
            <w:tcW w:w="491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43.4%(89)</w:t>
            </w:r>
          </w:p>
        </w:tc>
      </w:tr>
      <w:tr w:rsidR="00DB4DEE" w:rsidRPr="00376CD5" w:rsidTr="00545DCB">
        <w:trPr>
          <w:trHeight w:val="314"/>
        </w:trPr>
        <w:tc>
          <w:tcPr>
            <w:cnfStyle w:val="001000000000" w:firstRow="0" w:lastRow="0" w:firstColumn="1" w:lastColumn="0" w:oddVBand="0" w:evenVBand="0" w:oddHBand="0" w:evenHBand="0" w:firstRowFirstColumn="0" w:firstRowLastColumn="0" w:lastRowFirstColumn="0" w:lastRowLastColumn="0"/>
            <w:tcW w:w="5057" w:type="dxa"/>
          </w:tcPr>
          <w:p w:rsidR="00DB4DEE" w:rsidRPr="00376CD5" w:rsidRDefault="00DB4DEE" w:rsidP="00545DCB">
            <w:pPr>
              <w:rPr>
                <w:rFonts w:eastAsia="Calibri" w:cs="Times New Roman"/>
                <w:b w:val="0"/>
              </w:rPr>
            </w:pPr>
            <w:r w:rsidRPr="00376CD5">
              <w:rPr>
                <w:rFonts w:eastAsia="Calibri" w:cs="Times New Roman"/>
                <w:b w:val="0"/>
              </w:rPr>
              <w:t>Small increase</w:t>
            </w:r>
          </w:p>
        </w:tc>
        <w:tc>
          <w:tcPr>
            <w:tcW w:w="491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36.1%(74)</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57" w:type="dxa"/>
          </w:tcPr>
          <w:p w:rsidR="00DB4DEE" w:rsidRPr="00376CD5" w:rsidRDefault="00DB4DEE" w:rsidP="00545DCB">
            <w:pPr>
              <w:rPr>
                <w:rFonts w:eastAsia="Calibri" w:cs="Times New Roman"/>
                <w:b w:val="0"/>
              </w:rPr>
            </w:pPr>
            <w:r w:rsidRPr="00376CD5">
              <w:rPr>
                <w:rFonts w:eastAsia="Calibri" w:cs="Times New Roman"/>
                <w:b w:val="0"/>
              </w:rPr>
              <w:t>Large increase</w:t>
            </w:r>
          </w:p>
        </w:tc>
        <w:tc>
          <w:tcPr>
            <w:tcW w:w="491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0.5%(1)</w:t>
            </w:r>
          </w:p>
        </w:tc>
      </w:tr>
    </w:tbl>
    <w:p w:rsidR="00DB4DEE" w:rsidRPr="00376CD5" w:rsidRDefault="00DB4DEE" w:rsidP="00DB4DEE">
      <w:pPr>
        <w:spacing w:after="0" w:line="240" w:lineRule="auto"/>
      </w:pPr>
    </w:p>
    <w:p w:rsidR="00DB4DEE" w:rsidRPr="00376CD5" w:rsidRDefault="00DB4DEE" w:rsidP="00DB4DEE">
      <w:pPr>
        <w:spacing w:after="0" w:line="240" w:lineRule="auto"/>
        <w:rPr>
          <w:i/>
        </w:rPr>
      </w:pPr>
    </w:p>
    <w:p w:rsidR="00DB4DEE" w:rsidRPr="00376CD5" w:rsidRDefault="00DB4DEE" w:rsidP="00DB4DEE">
      <w:pPr>
        <w:rPr>
          <w:rFonts w:eastAsia="Calibri" w:cs="Times New Roman"/>
        </w:rPr>
      </w:pPr>
      <w:r w:rsidRPr="00376CD5">
        <w:rPr>
          <w:rFonts w:eastAsia="Calibri" w:cs="Times New Roman"/>
        </w:rPr>
        <w:br w:type="page"/>
      </w:r>
    </w:p>
    <w:p w:rsidR="00DB4DEE" w:rsidRPr="00376CD5" w:rsidRDefault="00DB4DEE" w:rsidP="00DB4DEE">
      <w:pPr>
        <w:spacing w:after="0" w:line="240" w:lineRule="auto"/>
        <w:rPr>
          <w:rFonts w:eastAsia="Calibri" w:cs="Times New Roman"/>
          <w:u w:val="single"/>
        </w:rPr>
      </w:pPr>
      <w:r w:rsidRPr="00376CD5">
        <w:rPr>
          <w:rFonts w:eastAsia="Calibri" w:cs="Times New Roman"/>
          <w:u w:val="single"/>
        </w:rPr>
        <w:lastRenderedPageBreak/>
        <w:t>Section 2: Expectations for Sangamon County Economic Sectors</w:t>
      </w:r>
    </w:p>
    <w:p w:rsidR="00DB4DEE" w:rsidRPr="00376CD5" w:rsidRDefault="00DB4DEE" w:rsidP="00DB4DEE">
      <w:pPr>
        <w:spacing w:after="0" w:line="240" w:lineRule="auto"/>
        <w:rPr>
          <w:rFonts w:eastAsia="Calibri" w:cs="Times New Roman"/>
        </w:rPr>
      </w:pPr>
      <w:r w:rsidRPr="00376CD5">
        <w:rPr>
          <w:rFonts w:eastAsia="Calibri" w:cs="Times New Roman"/>
        </w:rPr>
        <w:t xml:space="preserve">Over the next 12 months, what are your expectations for following </w:t>
      </w:r>
      <w:r w:rsidRPr="00376CD5">
        <w:rPr>
          <w:rFonts w:eastAsia="Calibri" w:cs="Times New Roman"/>
          <w:u w:val="single"/>
        </w:rPr>
        <w:t>economic sectors</w:t>
      </w:r>
      <w:r w:rsidRPr="00376CD5">
        <w:rPr>
          <w:rFonts w:eastAsia="Calibri" w:cs="Times New Roman"/>
        </w:rPr>
        <w:t xml:space="preserve"> in Sangamon County? Do you think each aspect of the local economy will see a large decline, small decline, stay the same, small increase, or large increase?</w:t>
      </w:r>
    </w:p>
    <w:p w:rsidR="00DB4DEE" w:rsidRPr="00376CD5" w:rsidRDefault="00DB4DEE" w:rsidP="00DB4DEE">
      <w:pPr>
        <w:spacing w:after="0" w:line="240" w:lineRule="auto"/>
        <w:rPr>
          <w:i/>
        </w:rPr>
      </w:pPr>
    </w:p>
    <w:p w:rsidR="00DB4DEE" w:rsidRPr="00376CD5" w:rsidRDefault="00DB4DEE" w:rsidP="00DB4DEE">
      <w:pPr>
        <w:spacing w:after="0" w:line="240" w:lineRule="auto"/>
        <w:rPr>
          <w:rFonts w:eastAsia="Calibri" w:cs="Times New Roman"/>
        </w:rPr>
      </w:pPr>
      <w:r w:rsidRPr="00376CD5">
        <w:rPr>
          <w:color w:val="000000"/>
        </w:rPr>
        <w:t xml:space="preserve">Construction </w:t>
      </w:r>
      <w:r w:rsidRPr="00376CD5">
        <w:rPr>
          <w:rFonts w:eastAsia="Calibri" w:cs="Times New Roman"/>
        </w:rPr>
        <w:t>(Intensity index score: +18.6)</w:t>
      </w:r>
    </w:p>
    <w:tbl>
      <w:tblPr>
        <w:tblStyle w:val="LightShading1"/>
        <w:tblW w:w="9972" w:type="dxa"/>
        <w:tblInd w:w="108" w:type="dxa"/>
        <w:tblLook w:val="04A0" w:firstRow="1" w:lastRow="0" w:firstColumn="1" w:lastColumn="0" w:noHBand="0" w:noVBand="1"/>
      </w:tblPr>
      <w:tblGrid>
        <w:gridCol w:w="5072"/>
        <w:gridCol w:w="4900"/>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072" w:type="dxa"/>
          </w:tcPr>
          <w:p w:rsidR="00DB4DEE" w:rsidRPr="00376CD5" w:rsidRDefault="00DB4DEE" w:rsidP="00545DCB">
            <w:pPr>
              <w:rPr>
                <w:rFonts w:eastAsia="Calibri" w:cs="Times New Roman"/>
                <w:b w:val="0"/>
              </w:rPr>
            </w:pPr>
          </w:p>
        </w:tc>
        <w:tc>
          <w:tcPr>
            <w:tcW w:w="4900"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072" w:type="dxa"/>
          </w:tcPr>
          <w:p w:rsidR="00DB4DEE" w:rsidRPr="00376CD5" w:rsidRDefault="00DB4DEE" w:rsidP="00545DCB">
            <w:pPr>
              <w:rPr>
                <w:rFonts w:eastAsia="Calibri" w:cs="Times New Roman"/>
                <w:b w:val="0"/>
              </w:rPr>
            </w:pPr>
            <w:r w:rsidRPr="00376CD5">
              <w:rPr>
                <w:rFonts w:eastAsia="Calibri" w:cs="Times New Roman"/>
                <w:b w:val="0"/>
              </w:rPr>
              <w:t>Large decline</w:t>
            </w:r>
          </w:p>
        </w:tc>
        <w:tc>
          <w:tcPr>
            <w:tcW w:w="490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1.5%(3)</w:t>
            </w:r>
          </w:p>
        </w:tc>
      </w:tr>
      <w:tr w:rsidR="00DB4DEE" w:rsidRPr="00376CD5" w:rsidTr="00545DCB">
        <w:trPr>
          <w:trHeight w:val="319"/>
        </w:trPr>
        <w:tc>
          <w:tcPr>
            <w:cnfStyle w:val="001000000000" w:firstRow="0" w:lastRow="0" w:firstColumn="1" w:lastColumn="0" w:oddVBand="0" w:evenVBand="0" w:oddHBand="0" w:evenHBand="0" w:firstRowFirstColumn="0" w:firstRowLastColumn="0" w:lastRowFirstColumn="0" w:lastRowLastColumn="0"/>
            <w:tcW w:w="5072" w:type="dxa"/>
          </w:tcPr>
          <w:p w:rsidR="00DB4DEE" w:rsidRPr="00376CD5" w:rsidRDefault="00DB4DEE" w:rsidP="00545DCB">
            <w:pPr>
              <w:rPr>
                <w:rFonts w:eastAsia="Calibri" w:cs="Times New Roman"/>
                <w:b w:val="0"/>
              </w:rPr>
            </w:pPr>
            <w:r w:rsidRPr="00376CD5">
              <w:rPr>
                <w:rFonts w:eastAsia="Calibri" w:cs="Times New Roman"/>
                <w:b w:val="0"/>
              </w:rPr>
              <w:t>Small decline</w:t>
            </w:r>
          </w:p>
        </w:tc>
        <w:tc>
          <w:tcPr>
            <w:tcW w:w="4900"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13.4%(27)</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072" w:type="dxa"/>
          </w:tcPr>
          <w:p w:rsidR="00DB4DEE" w:rsidRPr="00376CD5" w:rsidRDefault="00DB4DEE" w:rsidP="00545DCB">
            <w:pPr>
              <w:rPr>
                <w:rFonts w:eastAsia="Calibri" w:cs="Times New Roman"/>
                <w:b w:val="0"/>
              </w:rPr>
            </w:pPr>
            <w:r w:rsidRPr="00376CD5">
              <w:rPr>
                <w:rFonts w:eastAsia="Calibri" w:cs="Times New Roman"/>
                <w:b w:val="0"/>
              </w:rPr>
              <w:t>Stay the same</w:t>
            </w:r>
          </w:p>
        </w:tc>
        <w:tc>
          <w:tcPr>
            <w:tcW w:w="490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35.6%(72)</w:t>
            </w:r>
          </w:p>
        </w:tc>
      </w:tr>
      <w:tr w:rsidR="00DB4DEE" w:rsidRPr="00376CD5" w:rsidTr="00545DCB">
        <w:trPr>
          <w:trHeight w:val="378"/>
        </w:trPr>
        <w:tc>
          <w:tcPr>
            <w:cnfStyle w:val="001000000000" w:firstRow="0" w:lastRow="0" w:firstColumn="1" w:lastColumn="0" w:oddVBand="0" w:evenVBand="0" w:oddHBand="0" w:evenHBand="0" w:firstRowFirstColumn="0" w:firstRowLastColumn="0" w:lastRowFirstColumn="0" w:lastRowLastColumn="0"/>
            <w:tcW w:w="5072" w:type="dxa"/>
          </w:tcPr>
          <w:p w:rsidR="00DB4DEE" w:rsidRPr="00376CD5" w:rsidRDefault="00DB4DEE" w:rsidP="00545DCB">
            <w:pPr>
              <w:rPr>
                <w:rFonts w:eastAsia="Calibri" w:cs="Times New Roman"/>
                <w:b w:val="0"/>
              </w:rPr>
            </w:pPr>
            <w:r w:rsidRPr="00376CD5">
              <w:rPr>
                <w:rFonts w:eastAsia="Calibri" w:cs="Times New Roman"/>
                <w:b w:val="0"/>
              </w:rPr>
              <w:t>Small increase</w:t>
            </w:r>
          </w:p>
        </w:tc>
        <w:tc>
          <w:tcPr>
            <w:tcW w:w="4900"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45.5%(92)</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072" w:type="dxa"/>
          </w:tcPr>
          <w:p w:rsidR="00DB4DEE" w:rsidRPr="00376CD5" w:rsidRDefault="00DB4DEE" w:rsidP="00545DCB">
            <w:pPr>
              <w:rPr>
                <w:rFonts w:eastAsia="Calibri" w:cs="Times New Roman"/>
                <w:b w:val="0"/>
              </w:rPr>
            </w:pPr>
            <w:r w:rsidRPr="00376CD5">
              <w:rPr>
                <w:rFonts w:eastAsia="Calibri" w:cs="Times New Roman"/>
                <w:b w:val="0"/>
              </w:rPr>
              <w:t>Large increase</w:t>
            </w:r>
          </w:p>
        </w:tc>
        <w:tc>
          <w:tcPr>
            <w:tcW w:w="490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4.0%(8)</w:t>
            </w:r>
          </w:p>
        </w:tc>
      </w:tr>
    </w:tbl>
    <w:p w:rsidR="00DB4DEE" w:rsidRPr="00376CD5" w:rsidRDefault="00DB4DEE" w:rsidP="00DB4DEE">
      <w:pPr>
        <w:spacing w:after="0" w:line="240" w:lineRule="auto"/>
        <w:rPr>
          <w:color w:val="000000"/>
        </w:rPr>
      </w:pPr>
    </w:p>
    <w:p w:rsidR="00DB4DEE" w:rsidRPr="00376CD5" w:rsidRDefault="00DB4DEE" w:rsidP="00DB4DEE">
      <w:pPr>
        <w:spacing w:after="0" w:line="240" w:lineRule="auto"/>
        <w:rPr>
          <w:rFonts w:eastAsia="Calibri" w:cs="Times New Roman"/>
        </w:rPr>
      </w:pPr>
      <w:r w:rsidRPr="00376CD5">
        <w:rPr>
          <w:rFonts w:eastAsia="Calibri" w:cs="Times New Roman"/>
        </w:rPr>
        <w:t>Manufacturing (Intensity index score:</w:t>
      </w:r>
      <w:r w:rsidR="002D4806">
        <w:rPr>
          <w:rFonts w:eastAsia="Calibri" w:cs="Times New Roman"/>
        </w:rPr>
        <w:t xml:space="preserve"> </w:t>
      </w:r>
      <w:r w:rsidRPr="00376CD5">
        <w:rPr>
          <w:rFonts w:eastAsia="Calibri" w:cs="Times New Roman"/>
        </w:rPr>
        <w:t xml:space="preserve"> -10.4)</w:t>
      </w:r>
    </w:p>
    <w:tbl>
      <w:tblPr>
        <w:tblStyle w:val="LightShading1"/>
        <w:tblW w:w="9972" w:type="dxa"/>
        <w:tblInd w:w="108" w:type="dxa"/>
        <w:tblLook w:val="04A0" w:firstRow="1" w:lastRow="0" w:firstColumn="1" w:lastColumn="0" w:noHBand="0" w:noVBand="1"/>
      </w:tblPr>
      <w:tblGrid>
        <w:gridCol w:w="5042"/>
        <w:gridCol w:w="4930"/>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042" w:type="dxa"/>
          </w:tcPr>
          <w:p w:rsidR="00DB4DEE" w:rsidRPr="00376CD5" w:rsidRDefault="00DB4DEE" w:rsidP="00545DCB">
            <w:pPr>
              <w:rPr>
                <w:rFonts w:eastAsia="Calibri" w:cs="Times New Roman"/>
                <w:b w:val="0"/>
              </w:rPr>
            </w:pPr>
          </w:p>
        </w:tc>
        <w:tc>
          <w:tcPr>
            <w:tcW w:w="4930"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5042" w:type="dxa"/>
          </w:tcPr>
          <w:p w:rsidR="00DB4DEE" w:rsidRPr="00376CD5" w:rsidRDefault="00DB4DEE" w:rsidP="00545DCB">
            <w:pPr>
              <w:rPr>
                <w:rFonts w:eastAsia="Calibri" w:cs="Times New Roman"/>
                <w:b w:val="0"/>
              </w:rPr>
            </w:pPr>
            <w:r w:rsidRPr="00376CD5">
              <w:rPr>
                <w:rFonts w:eastAsia="Calibri" w:cs="Times New Roman"/>
                <w:b w:val="0"/>
              </w:rPr>
              <w:t>Large decline</w:t>
            </w:r>
          </w:p>
        </w:tc>
        <w:tc>
          <w:tcPr>
            <w:tcW w:w="493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4.0%(8)</w:t>
            </w:r>
          </w:p>
        </w:tc>
      </w:tr>
      <w:tr w:rsidR="00DB4DEE" w:rsidRPr="00376CD5" w:rsidTr="00545DCB">
        <w:trPr>
          <w:trHeight w:val="317"/>
        </w:trPr>
        <w:tc>
          <w:tcPr>
            <w:cnfStyle w:val="001000000000" w:firstRow="0" w:lastRow="0" w:firstColumn="1" w:lastColumn="0" w:oddVBand="0" w:evenVBand="0" w:oddHBand="0" w:evenHBand="0" w:firstRowFirstColumn="0" w:firstRowLastColumn="0" w:lastRowFirstColumn="0" w:lastRowLastColumn="0"/>
            <w:tcW w:w="5042" w:type="dxa"/>
          </w:tcPr>
          <w:p w:rsidR="00DB4DEE" w:rsidRPr="00376CD5" w:rsidRDefault="00DB4DEE" w:rsidP="00545DCB">
            <w:pPr>
              <w:rPr>
                <w:rFonts w:eastAsia="Calibri" w:cs="Times New Roman"/>
                <w:b w:val="0"/>
              </w:rPr>
            </w:pPr>
            <w:r w:rsidRPr="00376CD5">
              <w:rPr>
                <w:rFonts w:eastAsia="Calibri" w:cs="Times New Roman"/>
                <w:b w:val="0"/>
              </w:rPr>
              <w:t>Small decline</w:t>
            </w:r>
          </w:p>
        </w:tc>
        <w:tc>
          <w:tcPr>
            <w:tcW w:w="4930"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25.3%(50)</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042" w:type="dxa"/>
          </w:tcPr>
          <w:p w:rsidR="00DB4DEE" w:rsidRPr="00376CD5" w:rsidRDefault="00DB4DEE" w:rsidP="00545DCB">
            <w:pPr>
              <w:rPr>
                <w:rFonts w:eastAsia="Calibri" w:cs="Times New Roman"/>
                <w:b w:val="0"/>
              </w:rPr>
            </w:pPr>
            <w:r w:rsidRPr="00376CD5">
              <w:rPr>
                <w:rFonts w:eastAsia="Calibri" w:cs="Times New Roman"/>
                <w:b w:val="0"/>
              </w:rPr>
              <w:t>Stay the same</w:t>
            </w:r>
          </w:p>
        </w:tc>
        <w:tc>
          <w:tcPr>
            <w:tcW w:w="493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58.1%(115)</w:t>
            </w:r>
          </w:p>
        </w:tc>
      </w:tr>
      <w:tr w:rsidR="00DB4DEE" w:rsidRPr="00376CD5" w:rsidTr="00545DCB">
        <w:trPr>
          <w:trHeight w:val="317"/>
        </w:trPr>
        <w:tc>
          <w:tcPr>
            <w:cnfStyle w:val="001000000000" w:firstRow="0" w:lastRow="0" w:firstColumn="1" w:lastColumn="0" w:oddVBand="0" w:evenVBand="0" w:oddHBand="0" w:evenHBand="0" w:firstRowFirstColumn="0" w:firstRowLastColumn="0" w:lastRowFirstColumn="0" w:lastRowLastColumn="0"/>
            <w:tcW w:w="5042" w:type="dxa"/>
          </w:tcPr>
          <w:p w:rsidR="00DB4DEE" w:rsidRPr="00376CD5" w:rsidRDefault="00DB4DEE" w:rsidP="00545DCB">
            <w:pPr>
              <w:rPr>
                <w:rFonts w:eastAsia="Calibri" w:cs="Times New Roman"/>
                <w:b w:val="0"/>
              </w:rPr>
            </w:pPr>
            <w:r w:rsidRPr="00376CD5">
              <w:rPr>
                <w:rFonts w:eastAsia="Calibri" w:cs="Times New Roman"/>
                <w:b w:val="0"/>
              </w:rPr>
              <w:t>Small increase</w:t>
            </w:r>
          </w:p>
        </w:tc>
        <w:tc>
          <w:tcPr>
            <w:tcW w:w="4930"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12.6%(25)</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042" w:type="dxa"/>
          </w:tcPr>
          <w:p w:rsidR="00DB4DEE" w:rsidRPr="00376CD5" w:rsidRDefault="00DB4DEE" w:rsidP="00545DCB">
            <w:pPr>
              <w:rPr>
                <w:rFonts w:eastAsia="Calibri" w:cs="Times New Roman"/>
                <w:b w:val="0"/>
              </w:rPr>
            </w:pPr>
            <w:r w:rsidRPr="00376CD5">
              <w:rPr>
                <w:rFonts w:eastAsia="Calibri" w:cs="Times New Roman"/>
                <w:b w:val="0"/>
              </w:rPr>
              <w:t>Large increase</w:t>
            </w:r>
          </w:p>
        </w:tc>
        <w:tc>
          <w:tcPr>
            <w:tcW w:w="493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0%(0)</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rFonts w:eastAsia="Calibri" w:cs="Times New Roman"/>
        </w:rPr>
      </w:pPr>
      <w:r w:rsidRPr="00376CD5">
        <w:rPr>
          <w:rFonts w:eastAsia="Calibri" w:cs="Times New Roman"/>
        </w:rPr>
        <w:t>Wholesale trade (Intensity index score: +4.6)</w:t>
      </w:r>
    </w:p>
    <w:tbl>
      <w:tblPr>
        <w:tblStyle w:val="LightShading1"/>
        <w:tblW w:w="9972" w:type="dxa"/>
        <w:tblInd w:w="108" w:type="dxa"/>
        <w:tblLook w:val="04A0" w:firstRow="1" w:lastRow="0" w:firstColumn="1" w:lastColumn="0" w:noHBand="0" w:noVBand="1"/>
      </w:tblPr>
      <w:tblGrid>
        <w:gridCol w:w="5072"/>
        <w:gridCol w:w="4900"/>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072" w:type="dxa"/>
          </w:tcPr>
          <w:p w:rsidR="00DB4DEE" w:rsidRPr="00376CD5" w:rsidRDefault="00DB4DEE" w:rsidP="00545DCB">
            <w:pPr>
              <w:rPr>
                <w:rFonts w:eastAsia="Calibri" w:cs="Times New Roman"/>
                <w:b w:val="0"/>
              </w:rPr>
            </w:pPr>
          </w:p>
        </w:tc>
        <w:tc>
          <w:tcPr>
            <w:tcW w:w="4900"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072" w:type="dxa"/>
          </w:tcPr>
          <w:p w:rsidR="00DB4DEE" w:rsidRPr="00376CD5" w:rsidRDefault="00DB4DEE" w:rsidP="00545DCB">
            <w:pPr>
              <w:rPr>
                <w:rFonts w:eastAsia="Calibri" w:cs="Times New Roman"/>
                <w:b w:val="0"/>
              </w:rPr>
            </w:pPr>
            <w:r w:rsidRPr="00376CD5">
              <w:rPr>
                <w:rFonts w:eastAsia="Calibri" w:cs="Times New Roman"/>
                <w:b w:val="0"/>
              </w:rPr>
              <w:t>Large decline</w:t>
            </w:r>
          </w:p>
        </w:tc>
        <w:tc>
          <w:tcPr>
            <w:tcW w:w="490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0.5%(1)</w:t>
            </w:r>
          </w:p>
        </w:tc>
      </w:tr>
      <w:tr w:rsidR="00DB4DEE" w:rsidRPr="00376CD5" w:rsidTr="00545DCB">
        <w:trPr>
          <w:trHeight w:val="331"/>
        </w:trPr>
        <w:tc>
          <w:tcPr>
            <w:cnfStyle w:val="001000000000" w:firstRow="0" w:lastRow="0" w:firstColumn="1" w:lastColumn="0" w:oddVBand="0" w:evenVBand="0" w:oddHBand="0" w:evenHBand="0" w:firstRowFirstColumn="0" w:firstRowLastColumn="0" w:lastRowFirstColumn="0" w:lastRowLastColumn="0"/>
            <w:tcW w:w="5072" w:type="dxa"/>
          </w:tcPr>
          <w:p w:rsidR="00DB4DEE" w:rsidRPr="00376CD5" w:rsidRDefault="00DB4DEE" w:rsidP="00545DCB">
            <w:pPr>
              <w:rPr>
                <w:rFonts w:eastAsia="Calibri" w:cs="Times New Roman"/>
                <w:b w:val="0"/>
              </w:rPr>
            </w:pPr>
            <w:r w:rsidRPr="00376CD5">
              <w:rPr>
                <w:rFonts w:eastAsia="Calibri" w:cs="Times New Roman"/>
                <w:b w:val="0"/>
              </w:rPr>
              <w:t>Small decline</w:t>
            </w:r>
          </w:p>
        </w:tc>
        <w:tc>
          <w:tcPr>
            <w:tcW w:w="4900"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14.7%(29)</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072" w:type="dxa"/>
          </w:tcPr>
          <w:p w:rsidR="00DB4DEE" w:rsidRPr="00376CD5" w:rsidRDefault="00DB4DEE" w:rsidP="00545DCB">
            <w:pPr>
              <w:rPr>
                <w:rFonts w:eastAsia="Calibri" w:cs="Times New Roman"/>
                <w:b w:val="0"/>
              </w:rPr>
            </w:pPr>
            <w:r w:rsidRPr="00376CD5">
              <w:rPr>
                <w:rFonts w:eastAsia="Calibri" w:cs="Times New Roman"/>
                <w:b w:val="0"/>
              </w:rPr>
              <w:t>Stay the same</w:t>
            </w:r>
          </w:p>
        </w:tc>
        <w:tc>
          <w:tcPr>
            <w:tcW w:w="490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60.9%(120)</w:t>
            </w:r>
          </w:p>
        </w:tc>
      </w:tr>
      <w:tr w:rsidR="00DB4DEE" w:rsidRPr="00376CD5" w:rsidTr="00545DCB">
        <w:trPr>
          <w:trHeight w:val="331"/>
        </w:trPr>
        <w:tc>
          <w:tcPr>
            <w:cnfStyle w:val="001000000000" w:firstRow="0" w:lastRow="0" w:firstColumn="1" w:lastColumn="0" w:oddVBand="0" w:evenVBand="0" w:oddHBand="0" w:evenHBand="0" w:firstRowFirstColumn="0" w:firstRowLastColumn="0" w:lastRowFirstColumn="0" w:lastRowLastColumn="0"/>
            <w:tcW w:w="5072" w:type="dxa"/>
          </w:tcPr>
          <w:p w:rsidR="00DB4DEE" w:rsidRPr="00376CD5" w:rsidRDefault="00DB4DEE" w:rsidP="00545DCB">
            <w:pPr>
              <w:rPr>
                <w:rFonts w:eastAsia="Calibri" w:cs="Times New Roman"/>
                <w:b w:val="0"/>
              </w:rPr>
            </w:pPr>
            <w:r w:rsidRPr="00376CD5">
              <w:rPr>
                <w:rFonts w:eastAsia="Calibri" w:cs="Times New Roman"/>
                <w:b w:val="0"/>
              </w:rPr>
              <w:t>Small increase</w:t>
            </w:r>
          </w:p>
        </w:tc>
        <w:tc>
          <w:tcPr>
            <w:tcW w:w="4900"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22.8%(45)</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072" w:type="dxa"/>
          </w:tcPr>
          <w:p w:rsidR="00DB4DEE" w:rsidRPr="00376CD5" w:rsidRDefault="00DB4DEE" w:rsidP="00545DCB">
            <w:pPr>
              <w:rPr>
                <w:rFonts w:eastAsia="Calibri" w:cs="Times New Roman"/>
                <w:b w:val="0"/>
              </w:rPr>
            </w:pPr>
            <w:r w:rsidRPr="00376CD5">
              <w:rPr>
                <w:rFonts w:eastAsia="Calibri" w:cs="Times New Roman"/>
                <w:b w:val="0"/>
              </w:rPr>
              <w:t>Large increase</w:t>
            </w:r>
          </w:p>
        </w:tc>
        <w:tc>
          <w:tcPr>
            <w:tcW w:w="490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1.0%(2)</w:t>
            </w:r>
          </w:p>
        </w:tc>
      </w:tr>
    </w:tbl>
    <w:p w:rsidR="00DB4DEE" w:rsidRPr="00376CD5" w:rsidRDefault="00DB4DEE" w:rsidP="00DB4DEE">
      <w:pPr>
        <w:spacing w:after="0" w:line="240" w:lineRule="auto"/>
        <w:rPr>
          <w:color w:val="000000"/>
        </w:rPr>
      </w:pPr>
    </w:p>
    <w:p w:rsidR="00DB4DEE" w:rsidRPr="00376CD5" w:rsidRDefault="00DB4DEE" w:rsidP="00DB4DEE">
      <w:pPr>
        <w:spacing w:after="0" w:line="240" w:lineRule="auto"/>
        <w:rPr>
          <w:rFonts w:eastAsia="Calibri" w:cs="Times New Roman"/>
        </w:rPr>
      </w:pPr>
      <w:r w:rsidRPr="00376CD5">
        <w:rPr>
          <w:rFonts w:eastAsia="Calibri" w:cs="Times New Roman"/>
        </w:rPr>
        <w:t>Retail trade (Intensity index score: +7.9)</w:t>
      </w:r>
    </w:p>
    <w:tbl>
      <w:tblPr>
        <w:tblStyle w:val="LightShading1"/>
        <w:tblW w:w="9972" w:type="dxa"/>
        <w:tblInd w:w="108" w:type="dxa"/>
        <w:tblLook w:val="04A0" w:firstRow="1" w:lastRow="0" w:firstColumn="1" w:lastColumn="0" w:noHBand="0" w:noVBand="1"/>
      </w:tblPr>
      <w:tblGrid>
        <w:gridCol w:w="5102"/>
        <w:gridCol w:w="4870"/>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5102" w:type="dxa"/>
          </w:tcPr>
          <w:p w:rsidR="00DB4DEE" w:rsidRPr="00376CD5" w:rsidRDefault="00DB4DEE" w:rsidP="00545DCB">
            <w:pPr>
              <w:rPr>
                <w:rFonts w:eastAsia="Calibri" w:cs="Times New Roman"/>
                <w:b w:val="0"/>
              </w:rPr>
            </w:pPr>
          </w:p>
        </w:tc>
        <w:tc>
          <w:tcPr>
            <w:tcW w:w="4870"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102" w:type="dxa"/>
          </w:tcPr>
          <w:p w:rsidR="00DB4DEE" w:rsidRPr="00376CD5" w:rsidRDefault="00DB4DEE" w:rsidP="00545DCB">
            <w:pPr>
              <w:rPr>
                <w:rFonts w:eastAsia="Calibri" w:cs="Times New Roman"/>
                <w:b w:val="0"/>
              </w:rPr>
            </w:pPr>
            <w:r w:rsidRPr="00376CD5">
              <w:rPr>
                <w:rFonts w:eastAsia="Calibri" w:cs="Times New Roman"/>
                <w:b w:val="0"/>
              </w:rPr>
              <w:t>Large decline</w:t>
            </w:r>
          </w:p>
        </w:tc>
        <w:tc>
          <w:tcPr>
            <w:tcW w:w="487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0.5%(1)</w:t>
            </w:r>
          </w:p>
        </w:tc>
      </w:tr>
      <w:tr w:rsidR="00DB4DEE" w:rsidRPr="00376CD5" w:rsidTr="00545DCB">
        <w:trPr>
          <w:trHeight w:val="307"/>
        </w:trPr>
        <w:tc>
          <w:tcPr>
            <w:cnfStyle w:val="001000000000" w:firstRow="0" w:lastRow="0" w:firstColumn="1" w:lastColumn="0" w:oddVBand="0" w:evenVBand="0" w:oddHBand="0" w:evenHBand="0" w:firstRowFirstColumn="0" w:firstRowLastColumn="0" w:lastRowFirstColumn="0" w:lastRowLastColumn="0"/>
            <w:tcW w:w="5102" w:type="dxa"/>
          </w:tcPr>
          <w:p w:rsidR="00DB4DEE" w:rsidRPr="00376CD5" w:rsidRDefault="00DB4DEE" w:rsidP="00545DCB">
            <w:pPr>
              <w:rPr>
                <w:rFonts w:eastAsia="Calibri" w:cs="Times New Roman"/>
                <w:b w:val="0"/>
              </w:rPr>
            </w:pPr>
            <w:r w:rsidRPr="00376CD5">
              <w:rPr>
                <w:rFonts w:eastAsia="Calibri" w:cs="Times New Roman"/>
                <w:b w:val="0"/>
              </w:rPr>
              <w:t>Small decline</w:t>
            </w:r>
          </w:p>
        </w:tc>
        <w:tc>
          <w:tcPr>
            <w:tcW w:w="4870"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19.7%(40)</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5102" w:type="dxa"/>
          </w:tcPr>
          <w:p w:rsidR="00DB4DEE" w:rsidRPr="00376CD5" w:rsidRDefault="00DB4DEE" w:rsidP="00545DCB">
            <w:pPr>
              <w:rPr>
                <w:rFonts w:eastAsia="Calibri" w:cs="Times New Roman"/>
                <w:b w:val="0"/>
              </w:rPr>
            </w:pPr>
            <w:r w:rsidRPr="00376CD5">
              <w:rPr>
                <w:rFonts w:eastAsia="Calibri" w:cs="Times New Roman"/>
                <w:b w:val="0"/>
              </w:rPr>
              <w:t>Stay the same</w:t>
            </w:r>
          </w:p>
        </w:tc>
        <w:tc>
          <w:tcPr>
            <w:tcW w:w="487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44.8%(91)</w:t>
            </w:r>
          </w:p>
        </w:tc>
      </w:tr>
      <w:tr w:rsidR="00DB4DEE" w:rsidRPr="00376CD5" w:rsidTr="00545DCB">
        <w:trPr>
          <w:trHeight w:val="307"/>
        </w:trPr>
        <w:tc>
          <w:tcPr>
            <w:cnfStyle w:val="001000000000" w:firstRow="0" w:lastRow="0" w:firstColumn="1" w:lastColumn="0" w:oddVBand="0" w:evenVBand="0" w:oddHBand="0" w:evenHBand="0" w:firstRowFirstColumn="0" w:firstRowLastColumn="0" w:lastRowFirstColumn="0" w:lastRowLastColumn="0"/>
            <w:tcW w:w="5102" w:type="dxa"/>
          </w:tcPr>
          <w:p w:rsidR="00DB4DEE" w:rsidRPr="00376CD5" w:rsidRDefault="00DB4DEE" w:rsidP="00545DCB">
            <w:pPr>
              <w:rPr>
                <w:rFonts w:eastAsia="Calibri" w:cs="Times New Roman"/>
                <w:b w:val="0"/>
              </w:rPr>
            </w:pPr>
            <w:r w:rsidRPr="00376CD5">
              <w:rPr>
                <w:rFonts w:eastAsia="Calibri" w:cs="Times New Roman"/>
                <w:b w:val="0"/>
              </w:rPr>
              <w:t>Small increase</w:t>
            </w:r>
          </w:p>
        </w:tc>
        <w:tc>
          <w:tcPr>
            <w:tcW w:w="4870"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33.5%(68)</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5102" w:type="dxa"/>
          </w:tcPr>
          <w:p w:rsidR="00DB4DEE" w:rsidRPr="00376CD5" w:rsidRDefault="00DB4DEE" w:rsidP="00545DCB">
            <w:pPr>
              <w:rPr>
                <w:rFonts w:eastAsia="Calibri" w:cs="Times New Roman"/>
                <w:b w:val="0"/>
              </w:rPr>
            </w:pPr>
            <w:r w:rsidRPr="00376CD5">
              <w:rPr>
                <w:rFonts w:eastAsia="Calibri" w:cs="Times New Roman"/>
                <w:b w:val="0"/>
              </w:rPr>
              <w:t>Large increase</w:t>
            </w:r>
          </w:p>
        </w:tc>
        <w:tc>
          <w:tcPr>
            <w:tcW w:w="487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1.5%(3)</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rFonts w:eastAsia="Calibri" w:cs="Times New Roman"/>
        </w:rPr>
      </w:pPr>
      <w:r w:rsidRPr="00376CD5">
        <w:rPr>
          <w:rFonts w:eastAsia="Calibri" w:cs="Times New Roman"/>
        </w:rPr>
        <w:lastRenderedPageBreak/>
        <w:t>Transportation/ warehousing (Intensity index score: +3.5)</w:t>
      </w:r>
    </w:p>
    <w:tbl>
      <w:tblPr>
        <w:tblStyle w:val="LightShading1"/>
        <w:tblW w:w="9972" w:type="dxa"/>
        <w:tblInd w:w="108" w:type="dxa"/>
        <w:tblLook w:val="04A0" w:firstRow="1" w:lastRow="0" w:firstColumn="1" w:lastColumn="0" w:noHBand="0" w:noVBand="1"/>
      </w:tblPr>
      <w:tblGrid>
        <w:gridCol w:w="5125"/>
        <w:gridCol w:w="4847"/>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125" w:type="dxa"/>
          </w:tcPr>
          <w:p w:rsidR="00DB4DEE" w:rsidRPr="00376CD5" w:rsidRDefault="00DB4DEE" w:rsidP="00545DCB">
            <w:pPr>
              <w:rPr>
                <w:rFonts w:eastAsia="Calibri" w:cs="Times New Roman"/>
                <w:b w:val="0"/>
              </w:rPr>
            </w:pPr>
          </w:p>
        </w:tc>
        <w:tc>
          <w:tcPr>
            <w:tcW w:w="4847"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125" w:type="dxa"/>
          </w:tcPr>
          <w:p w:rsidR="00DB4DEE" w:rsidRPr="00376CD5" w:rsidRDefault="00DB4DEE" w:rsidP="00545DCB">
            <w:pPr>
              <w:rPr>
                <w:rFonts w:eastAsia="Calibri" w:cs="Times New Roman"/>
                <w:b w:val="0"/>
              </w:rPr>
            </w:pPr>
            <w:r w:rsidRPr="00376CD5">
              <w:rPr>
                <w:rFonts w:eastAsia="Calibri" w:cs="Times New Roman"/>
                <w:b w:val="0"/>
              </w:rPr>
              <w:t>Large decline</w:t>
            </w:r>
          </w:p>
        </w:tc>
        <w:tc>
          <w:tcPr>
            <w:tcW w:w="4847"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0.5%(1)</w:t>
            </w:r>
          </w:p>
        </w:tc>
      </w:tr>
      <w:tr w:rsidR="00DB4DEE" w:rsidRPr="00376CD5" w:rsidTr="00545DCB">
        <w:trPr>
          <w:trHeight w:val="322"/>
        </w:trPr>
        <w:tc>
          <w:tcPr>
            <w:cnfStyle w:val="001000000000" w:firstRow="0" w:lastRow="0" w:firstColumn="1" w:lastColumn="0" w:oddVBand="0" w:evenVBand="0" w:oddHBand="0" w:evenHBand="0" w:firstRowFirstColumn="0" w:firstRowLastColumn="0" w:lastRowFirstColumn="0" w:lastRowLastColumn="0"/>
            <w:tcW w:w="5125" w:type="dxa"/>
          </w:tcPr>
          <w:p w:rsidR="00DB4DEE" w:rsidRPr="00376CD5" w:rsidRDefault="00DB4DEE" w:rsidP="00545DCB">
            <w:pPr>
              <w:rPr>
                <w:rFonts w:eastAsia="Calibri" w:cs="Times New Roman"/>
                <w:b w:val="0"/>
              </w:rPr>
            </w:pPr>
            <w:r w:rsidRPr="00376CD5">
              <w:rPr>
                <w:rFonts w:eastAsia="Calibri" w:cs="Times New Roman"/>
                <w:b w:val="0"/>
              </w:rPr>
              <w:t>Small decline</w:t>
            </w:r>
          </w:p>
        </w:tc>
        <w:tc>
          <w:tcPr>
            <w:tcW w:w="4847"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11.4%(23)</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125" w:type="dxa"/>
          </w:tcPr>
          <w:p w:rsidR="00DB4DEE" w:rsidRPr="00376CD5" w:rsidRDefault="00DB4DEE" w:rsidP="00545DCB">
            <w:pPr>
              <w:rPr>
                <w:rFonts w:eastAsia="Calibri" w:cs="Times New Roman"/>
                <w:b w:val="0"/>
              </w:rPr>
            </w:pPr>
            <w:r w:rsidRPr="00376CD5">
              <w:rPr>
                <w:rFonts w:eastAsia="Calibri" w:cs="Times New Roman"/>
                <w:b w:val="0"/>
              </w:rPr>
              <w:t>Stay the same</w:t>
            </w:r>
          </w:p>
        </w:tc>
        <w:tc>
          <w:tcPr>
            <w:tcW w:w="4847"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69.7%(140)</w:t>
            </w:r>
          </w:p>
        </w:tc>
      </w:tr>
      <w:tr w:rsidR="00DB4DEE" w:rsidRPr="00376CD5" w:rsidTr="00545DCB">
        <w:trPr>
          <w:trHeight w:val="322"/>
        </w:trPr>
        <w:tc>
          <w:tcPr>
            <w:cnfStyle w:val="001000000000" w:firstRow="0" w:lastRow="0" w:firstColumn="1" w:lastColumn="0" w:oddVBand="0" w:evenVBand="0" w:oddHBand="0" w:evenHBand="0" w:firstRowFirstColumn="0" w:firstRowLastColumn="0" w:lastRowFirstColumn="0" w:lastRowLastColumn="0"/>
            <w:tcW w:w="5125" w:type="dxa"/>
          </w:tcPr>
          <w:p w:rsidR="00DB4DEE" w:rsidRPr="00376CD5" w:rsidRDefault="00DB4DEE" w:rsidP="00545DCB">
            <w:pPr>
              <w:rPr>
                <w:rFonts w:eastAsia="Calibri" w:cs="Times New Roman"/>
                <w:b w:val="0"/>
              </w:rPr>
            </w:pPr>
            <w:r w:rsidRPr="00376CD5">
              <w:rPr>
                <w:rFonts w:eastAsia="Calibri" w:cs="Times New Roman"/>
                <w:b w:val="0"/>
              </w:rPr>
              <w:t>Small increase</w:t>
            </w:r>
          </w:p>
        </w:tc>
        <w:tc>
          <w:tcPr>
            <w:tcW w:w="4847"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17.4%(35)</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125" w:type="dxa"/>
          </w:tcPr>
          <w:p w:rsidR="00DB4DEE" w:rsidRPr="00376CD5" w:rsidRDefault="00DB4DEE" w:rsidP="00545DCB">
            <w:pPr>
              <w:rPr>
                <w:rFonts w:eastAsia="Calibri" w:cs="Times New Roman"/>
                <w:b w:val="0"/>
              </w:rPr>
            </w:pPr>
            <w:r w:rsidRPr="00376CD5">
              <w:rPr>
                <w:rFonts w:eastAsia="Calibri" w:cs="Times New Roman"/>
                <w:b w:val="0"/>
              </w:rPr>
              <w:t>Large increase</w:t>
            </w:r>
          </w:p>
        </w:tc>
        <w:tc>
          <w:tcPr>
            <w:tcW w:w="4847"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1.0%(2)</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rFonts w:eastAsia="Calibri" w:cs="Times New Roman"/>
        </w:rPr>
      </w:pPr>
      <w:r w:rsidRPr="00376CD5">
        <w:rPr>
          <w:rFonts w:eastAsia="Calibri" w:cs="Times New Roman"/>
        </w:rPr>
        <w:t>Finance/insurance/real estate (Intensity index score: +17.7)</w:t>
      </w:r>
    </w:p>
    <w:tbl>
      <w:tblPr>
        <w:tblStyle w:val="LightShading1"/>
        <w:tblW w:w="9972" w:type="dxa"/>
        <w:tblInd w:w="108" w:type="dxa"/>
        <w:tblLook w:val="04A0" w:firstRow="1" w:lastRow="0" w:firstColumn="1" w:lastColumn="0" w:noHBand="0" w:noVBand="1"/>
      </w:tblPr>
      <w:tblGrid>
        <w:gridCol w:w="5139"/>
        <w:gridCol w:w="4833"/>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139" w:type="dxa"/>
          </w:tcPr>
          <w:p w:rsidR="00DB4DEE" w:rsidRPr="00376CD5" w:rsidRDefault="00DB4DEE" w:rsidP="00545DCB">
            <w:pPr>
              <w:rPr>
                <w:rFonts w:eastAsia="Calibri" w:cs="Times New Roman"/>
                <w:b w:val="0"/>
              </w:rPr>
            </w:pPr>
          </w:p>
        </w:tc>
        <w:tc>
          <w:tcPr>
            <w:tcW w:w="4833"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139" w:type="dxa"/>
          </w:tcPr>
          <w:p w:rsidR="00DB4DEE" w:rsidRPr="00376CD5" w:rsidRDefault="00DB4DEE" w:rsidP="00545DCB">
            <w:pPr>
              <w:rPr>
                <w:rFonts w:eastAsia="Calibri" w:cs="Times New Roman"/>
                <w:b w:val="0"/>
              </w:rPr>
            </w:pPr>
            <w:r w:rsidRPr="00376CD5">
              <w:rPr>
                <w:rFonts w:eastAsia="Calibri" w:cs="Times New Roman"/>
                <w:b w:val="0"/>
              </w:rPr>
              <w:t>Large decline</w:t>
            </w:r>
          </w:p>
        </w:tc>
        <w:tc>
          <w:tcPr>
            <w:tcW w:w="4833"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1.0%(2)</w:t>
            </w:r>
          </w:p>
        </w:tc>
      </w:tr>
      <w:tr w:rsidR="00DB4DEE" w:rsidRPr="00376CD5" w:rsidTr="00545DCB">
        <w:trPr>
          <w:trHeight w:val="314"/>
        </w:trPr>
        <w:tc>
          <w:tcPr>
            <w:cnfStyle w:val="001000000000" w:firstRow="0" w:lastRow="0" w:firstColumn="1" w:lastColumn="0" w:oddVBand="0" w:evenVBand="0" w:oddHBand="0" w:evenHBand="0" w:firstRowFirstColumn="0" w:firstRowLastColumn="0" w:lastRowFirstColumn="0" w:lastRowLastColumn="0"/>
            <w:tcW w:w="5139" w:type="dxa"/>
          </w:tcPr>
          <w:p w:rsidR="00DB4DEE" w:rsidRPr="00376CD5" w:rsidRDefault="00DB4DEE" w:rsidP="00545DCB">
            <w:pPr>
              <w:rPr>
                <w:rFonts w:eastAsia="Calibri" w:cs="Times New Roman"/>
                <w:b w:val="0"/>
              </w:rPr>
            </w:pPr>
            <w:r w:rsidRPr="00376CD5">
              <w:rPr>
                <w:rFonts w:eastAsia="Calibri" w:cs="Times New Roman"/>
                <w:b w:val="0"/>
              </w:rPr>
              <w:t>Small decline</w:t>
            </w:r>
          </w:p>
        </w:tc>
        <w:tc>
          <w:tcPr>
            <w:tcW w:w="4833"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8.9%(18)</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139" w:type="dxa"/>
          </w:tcPr>
          <w:p w:rsidR="00DB4DEE" w:rsidRPr="00376CD5" w:rsidRDefault="00DB4DEE" w:rsidP="00545DCB">
            <w:pPr>
              <w:rPr>
                <w:rFonts w:eastAsia="Calibri" w:cs="Times New Roman"/>
                <w:b w:val="0"/>
              </w:rPr>
            </w:pPr>
            <w:r w:rsidRPr="00376CD5">
              <w:rPr>
                <w:rFonts w:eastAsia="Calibri" w:cs="Times New Roman"/>
                <w:b w:val="0"/>
              </w:rPr>
              <w:t>Stay the same</w:t>
            </w:r>
          </w:p>
        </w:tc>
        <w:tc>
          <w:tcPr>
            <w:tcW w:w="4833"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45.5%(92)</w:t>
            </w:r>
          </w:p>
        </w:tc>
      </w:tr>
      <w:tr w:rsidR="00DB4DEE" w:rsidRPr="00376CD5" w:rsidTr="00545DCB">
        <w:trPr>
          <w:trHeight w:val="314"/>
        </w:trPr>
        <w:tc>
          <w:tcPr>
            <w:cnfStyle w:val="001000000000" w:firstRow="0" w:lastRow="0" w:firstColumn="1" w:lastColumn="0" w:oddVBand="0" w:evenVBand="0" w:oddHBand="0" w:evenHBand="0" w:firstRowFirstColumn="0" w:firstRowLastColumn="0" w:lastRowFirstColumn="0" w:lastRowLastColumn="0"/>
            <w:tcW w:w="5139" w:type="dxa"/>
          </w:tcPr>
          <w:p w:rsidR="00DB4DEE" w:rsidRPr="00376CD5" w:rsidRDefault="00DB4DEE" w:rsidP="00545DCB">
            <w:pPr>
              <w:rPr>
                <w:rFonts w:eastAsia="Calibri" w:cs="Times New Roman"/>
                <w:b w:val="0"/>
              </w:rPr>
            </w:pPr>
            <w:r w:rsidRPr="00376CD5">
              <w:rPr>
                <w:rFonts w:eastAsia="Calibri" w:cs="Times New Roman"/>
                <w:b w:val="0"/>
              </w:rPr>
              <w:t>Small increase</w:t>
            </w:r>
          </w:p>
        </w:tc>
        <w:tc>
          <w:tcPr>
            <w:tcW w:w="4833"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43.1%(87)</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139" w:type="dxa"/>
          </w:tcPr>
          <w:p w:rsidR="00DB4DEE" w:rsidRPr="00376CD5" w:rsidRDefault="00DB4DEE" w:rsidP="00545DCB">
            <w:pPr>
              <w:rPr>
                <w:rFonts w:eastAsia="Calibri" w:cs="Times New Roman"/>
                <w:b w:val="0"/>
              </w:rPr>
            </w:pPr>
            <w:r w:rsidRPr="00376CD5">
              <w:rPr>
                <w:rFonts w:eastAsia="Calibri" w:cs="Times New Roman"/>
                <w:b w:val="0"/>
              </w:rPr>
              <w:t>Large increase</w:t>
            </w:r>
          </w:p>
        </w:tc>
        <w:tc>
          <w:tcPr>
            <w:tcW w:w="4833"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1.5%(3)</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rFonts w:eastAsia="Calibri" w:cs="Times New Roman"/>
        </w:rPr>
      </w:pPr>
      <w:r w:rsidRPr="00376CD5">
        <w:rPr>
          <w:rFonts w:eastAsia="Calibri" w:cs="Times New Roman"/>
        </w:rPr>
        <w:t>Medical/health care (Intensity index score: +40.9)</w:t>
      </w:r>
    </w:p>
    <w:tbl>
      <w:tblPr>
        <w:tblStyle w:val="LightShading1"/>
        <w:tblW w:w="9972" w:type="dxa"/>
        <w:tblInd w:w="108" w:type="dxa"/>
        <w:tblLook w:val="04A0" w:firstRow="1" w:lastRow="0" w:firstColumn="1" w:lastColumn="0" w:noHBand="0" w:noVBand="1"/>
      </w:tblPr>
      <w:tblGrid>
        <w:gridCol w:w="5110"/>
        <w:gridCol w:w="4862"/>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110" w:type="dxa"/>
          </w:tcPr>
          <w:p w:rsidR="00DB4DEE" w:rsidRPr="00376CD5" w:rsidRDefault="00DB4DEE" w:rsidP="00545DCB">
            <w:pPr>
              <w:rPr>
                <w:rFonts w:eastAsia="Calibri" w:cs="Times New Roman"/>
                <w:b w:val="0"/>
              </w:rPr>
            </w:pPr>
          </w:p>
        </w:tc>
        <w:tc>
          <w:tcPr>
            <w:tcW w:w="4862"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5110" w:type="dxa"/>
          </w:tcPr>
          <w:p w:rsidR="00DB4DEE" w:rsidRPr="00376CD5" w:rsidRDefault="00DB4DEE" w:rsidP="00545DCB">
            <w:pPr>
              <w:rPr>
                <w:rFonts w:eastAsia="Calibri" w:cs="Times New Roman"/>
                <w:b w:val="0"/>
              </w:rPr>
            </w:pPr>
            <w:r w:rsidRPr="00376CD5">
              <w:rPr>
                <w:rFonts w:eastAsia="Calibri" w:cs="Times New Roman"/>
                <w:b w:val="0"/>
              </w:rPr>
              <w:t>Large decline</w:t>
            </w:r>
          </w:p>
        </w:tc>
        <w:tc>
          <w:tcPr>
            <w:tcW w:w="4862"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1.5%(3)</w:t>
            </w:r>
          </w:p>
        </w:tc>
      </w:tr>
      <w:tr w:rsidR="00DB4DEE" w:rsidRPr="00376CD5" w:rsidTr="00545DCB">
        <w:trPr>
          <w:trHeight w:val="317"/>
        </w:trPr>
        <w:tc>
          <w:tcPr>
            <w:cnfStyle w:val="001000000000" w:firstRow="0" w:lastRow="0" w:firstColumn="1" w:lastColumn="0" w:oddVBand="0" w:evenVBand="0" w:oddHBand="0" w:evenHBand="0" w:firstRowFirstColumn="0" w:firstRowLastColumn="0" w:lastRowFirstColumn="0" w:lastRowLastColumn="0"/>
            <w:tcW w:w="5110" w:type="dxa"/>
          </w:tcPr>
          <w:p w:rsidR="00DB4DEE" w:rsidRPr="00376CD5" w:rsidRDefault="00DB4DEE" w:rsidP="00545DCB">
            <w:pPr>
              <w:rPr>
                <w:rFonts w:eastAsia="Calibri" w:cs="Times New Roman"/>
                <w:b w:val="0"/>
              </w:rPr>
            </w:pPr>
            <w:r w:rsidRPr="00376CD5">
              <w:rPr>
                <w:rFonts w:eastAsia="Calibri" w:cs="Times New Roman"/>
                <w:b w:val="0"/>
              </w:rPr>
              <w:t>Small decline</w:t>
            </w:r>
          </w:p>
        </w:tc>
        <w:tc>
          <w:tcPr>
            <w:tcW w:w="4862"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4.4%(9)</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110" w:type="dxa"/>
          </w:tcPr>
          <w:p w:rsidR="00DB4DEE" w:rsidRPr="00376CD5" w:rsidRDefault="00DB4DEE" w:rsidP="00545DCB">
            <w:pPr>
              <w:rPr>
                <w:rFonts w:eastAsia="Calibri" w:cs="Times New Roman"/>
                <w:b w:val="0"/>
              </w:rPr>
            </w:pPr>
            <w:r w:rsidRPr="00376CD5">
              <w:rPr>
                <w:rFonts w:eastAsia="Calibri" w:cs="Times New Roman"/>
                <w:b w:val="0"/>
              </w:rPr>
              <w:t>Stay the same</w:t>
            </w:r>
          </w:p>
        </w:tc>
        <w:tc>
          <w:tcPr>
            <w:tcW w:w="4862"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20.6%(42)</w:t>
            </w:r>
          </w:p>
        </w:tc>
      </w:tr>
      <w:tr w:rsidR="00DB4DEE" w:rsidRPr="00376CD5" w:rsidTr="00545DCB">
        <w:trPr>
          <w:trHeight w:val="317"/>
        </w:trPr>
        <w:tc>
          <w:tcPr>
            <w:cnfStyle w:val="001000000000" w:firstRow="0" w:lastRow="0" w:firstColumn="1" w:lastColumn="0" w:oddVBand="0" w:evenVBand="0" w:oddHBand="0" w:evenHBand="0" w:firstRowFirstColumn="0" w:firstRowLastColumn="0" w:lastRowFirstColumn="0" w:lastRowLastColumn="0"/>
            <w:tcW w:w="5110" w:type="dxa"/>
          </w:tcPr>
          <w:p w:rsidR="00DB4DEE" w:rsidRPr="00376CD5" w:rsidRDefault="00DB4DEE" w:rsidP="00545DCB">
            <w:pPr>
              <w:rPr>
                <w:rFonts w:eastAsia="Calibri" w:cs="Times New Roman"/>
                <w:b w:val="0"/>
              </w:rPr>
            </w:pPr>
            <w:r w:rsidRPr="00376CD5">
              <w:rPr>
                <w:rFonts w:eastAsia="Calibri" w:cs="Times New Roman"/>
                <w:b w:val="0"/>
              </w:rPr>
              <w:t>Small increase</w:t>
            </w:r>
          </w:p>
        </w:tc>
        <w:tc>
          <w:tcPr>
            <w:tcW w:w="4862"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57.8%(118)</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110" w:type="dxa"/>
          </w:tcPr>
          <w:p w:rsidR="00DB4DEE" w:rsidRPr="00376CD5" w:rsidRDefault="00DB4DEE" w:rsidP="00545DCB">
            <w:pPr>
              <w:rPr>
                <w:rFonts w:eastAsia="Calibri" w:cs="Times New Roman"/>
                <w:b w:val="0"/>
              </w:rPr>
            </w:pPr>
            <w:r w:rsidRPr="00376CD5">
              <w:rPr>
                <w:rFonts w:eastAsia="Calibri" w:cs="Times New Roman"/>
                <w:b w:val="0"/>
              </w:rPr>
              <w:t>Large increase</w:t>
            </w:r>
          </w:p>
        </w:tc>
        <w:tc>
          <w:tcPr>
            <w:tcW w:w="4862"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15.7%(32)</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rFonts w:eastAsia="Calibri" w:cs="Times New Roman"/>
        </w:rPr>
      </w:pPr>
      <w:r w:rsidRPr="00376CD5">
        <w:rPr>
          <w:rFonts w:eastAsia="Calibri" w:cs="Times New Roman"/>
        </w:rPr>
        <w:t>Education/ educational services (Intensity index score: +6.4)</w:t>
      </w:r>
    </w:p>
    <w:tbl>
      <w:tblPr>
        <w:tblStyle w:val="LightShading1"/>
        <w:tblW w:w="9972" w:type="dxa"/>
        <w:tblInd w:w="108" w:type="dxa"/>
        <w:tblLook w:val="04A0" w:firstRow="1" w:lastRow="0" w:firstColumn="1" w:lastColumn="0" w:noHBand="0" w:noVBand="1"/>
      </w:tblPr>
      <w:tblGrid>
        <w:gridCol w:w="5147"/>
        <w:gridCol w:w="4825"/>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47" w:type="dxa"/>
          </w:tcPr>
          <w:p w:rsidR="00DB4DEE" w:rsidRPr="00376CD5" w:rsidRDefault="00DB4DEE" w:rsidP="00545DCB">
            <w:pPr>
              <w:rPr>
                <w:rFonts w:eastAsia="Calibri" w:cs="Times New Roman"/>
                <w:b w:val="0"/>
              </w:rPr>
            </w:pPr>
          </w:p>
        </w:tc>
        <w:tc>
          <w:tcPr>
            <w:tcW w:w="4825"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7" w:type="dxa"/>
          </w:tcPr>
          <w:p w:rsidR="00DB4DEE" w:rsidRPr="00376CD5" w:rsidRDefault="00DB4DEE" w:rsidP="00545DCB">
            <w:pPr>
              <w:rPr>
                <w:rFonts w:eastAsia="Calibri" w:cs="Times New Roman"/>
                <w:b w:val="0"/>
              </w:rPr>
            </w:pPr>
            <w:r w:rsidRPr="00376CD5">
              <w:rPr>
                <w:rFonts w:eastAsia="Calibri" w:cs="Times New Roman"/>
                <w:b w:val="0"/>
              </w:rPr>
              <w:t>Large decline</w:t>
            </w:r>
          </w:p>
        </w:tc>
        <w:tc>
          <w:tcPr>
            <w:tcW w:w="482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0.5%(1)</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47" w:type="dxa"/>
          </w:tcPr>
          <w:p w:rsidR="00DB4DEE" w:rsidRPr="00376CD5" w:rsidRDefault="00DB4DEE" w:rsidP="00545DCB">
            <w:pPr>
              <w:rPr>
                <w:rFonts w:eastAsia="Calibri" w:cs="Times New Roman"/>
                <w:b w:val="0"/>
              </w:rPr>
            </w:pPr>
            <w:r w:rsidRPr="00376CD5">
              <w:rPr>
                <w:rFonts w:eastAsia="Calibri" w:cs="Times New Roman"/>
                <w:b w:val="0"/>
              </w:rPr>
              <w:t>Small decline</w:t>
            </w:r>
          </w:p>
        </w:tc>
        <w:tc>
          <w:tcPr>
            <w:tcW w:w="482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13.9%(28)</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47" w:type="dxa"/>
          </w:tcPr>
          <w:p w:rsidR="00DB4DEE" w:rsidRPr="00376CD5" w:rsidRDefault="00DB4DEE" w:rsidP="00545DCB">
            <w:pPr>
              <w:rPr>
                <w:rFonts w:eastAsia="Calibri" w:cs="Times New Roman"/>
                <w:b w:val="0"/>
              </w:rPr>
            </w:pPr>
            <w:r w:rsidRPr="00376CD5">
              <w:rPr>
                <w:rFonts w:eastAsia="Calibri" w:cs="Times New Roman"/>
                <w:b w:val="0"/>
              </w:rPr>
              <w:t>Stay the same</w:t>
            </w:r>
          </w:p>
        </w:tc>
        <w:tc>
          <w:tcPr>
            <w:tcW w:w="482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59.9%(121)</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47" w:type="dxa"/>
          </w:tcPr>
          <w:p w:rsidR="00DB4DEE" w:rsidRPr="00376CD5" w:rsidRDefault="00DB4DEE" w:rsidP="00545DCB">
            <w:pPr>
              <w:rPr>
                <w:rFonts w:eastAsia="Calibri" w:cs="Times New Roman"/>
                <w:b w:val="0"/>
              </w:rPr>
            </w:pPr>
            <w:r w:rsidRPr="00376CD5">
              <w:rPr>
                <w:rFonts w:eastAsia="Calibri" w:cs="Times New Roman"/>
                <w:b w:val="0"/>
              </w:rPr>
              <w:t>Small increase</w:t>
            </w:r>
          </w:p>
        </w:tc>
        <w:tc>
          <w:tcPr>
            <w:tcW w:w="482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23.8%(48)</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47" w:type="dxa"/>
          </w:tcPr>
          <w:p w:rsidR="00DB4DEE" w:rsidRPr="00376CD5" w:rsidRDefault="00DB4DEE" w:rsidP="00545DCB">
            <w:pPr>
              <w:rPr>
                <w:rFonts w:eastAsia="Calibri" w:cs="Times New Roman"/>
                <w:b w:val="0"/>
              </w:rPr>
            </w:pPr>
            <w:r w:rsidRPr="00376CD5">
              <w:rPr>
                <w:rFonts w:eastAsia="Calibri" w:cs="Times New Roman"/>
                <w:b w:val="0"/>
              </w:rPr>
              <w:t>Large increase</w:t>
            </w:r>
          </w:p>
        </w:tc>
        <w:tc>
          <w:tcPr>
            <w:tcW w:w="482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2.0%(4)</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rFonts w:eastAsia="Calibri" w:cs="Times New Roman"/>
        </w:rPr>
      </w:pPr>
      <w:r w:rsidRPr="00376CD5">
        <w:rPr>
          <w:rFonts w:eastAsia="Calibri" w:cs="Times New Roman"/>
        </w:rPr>
        <w:t>Accommodations/food/entertainment/recreation (Intensity index score: +7.1)</w:t>
      </w:r>
    </w:p>
    <w:tbl>
      <w:tblPr>
        <w:tblStyle w:val="LightShading1"/>
        <w:tblW w:w="9972" w:type="dxa"/>
        <w:tblInd w:w="108" w:type="dxa"/>
        <w:tblLook w:val="04A0" w:firstRow="1" w:lastRow="0" w:firstColumn="1" w:lastColumn="0" w:noHBand="0" w:noVBand="1"/>
      </w:tblPr>
      <w:tblGrid>
        <w:gridCol w:w="5139"/>
        <w:gridCol w:w="4833"/>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139" w:type="dxa"/>
          </w:tcPr>
          <w:p w:rsidR="00DB4DEE" w:rsidRPr="00376CD5" w:rsidRDefault="00DB4DEE" w:rsidP="00545DCB">
            <w:pPr>
              <w:rPr>
                <w:rFonts w:eastAsia="Calibri" w:cs="Times New Roman"/>
                <w:b w:val="0"/>
              </w:rPr>
            </w:pPr>
          </w:p>
        </w:tc>
        <w:tc>
          <w:tcPr>
            <w:tcW w:w="4833"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5139" w:type="dxa"/>
          </w:tcPr>
          <w:p w:rsidR="00DB4DEE" w:rsidRPr="00376CD5" w:rsidRDefault="00DB4DEE" w:rsidP="00545DCB">
            <w:pPr>
              <w:rPr>
                <w:rFonts w:eastAsia="Calibri" w:cs="Times New Roman"/>
                <w:b w:val="0"/>
              </w:rPr>
            </w:pPr>
            <w:r w:rsidRPr="00376CD5">
              <w:rPr>
                <w:rFonts w:eastAsia="Calibri" w:cs="Times New Roman"/>
                <w:b w:val="0"/>
              </w:rPr>
              <w:t>Large decline</w:t>
            </w:r>
          </w:p>
        </w:tc>
        <w:tc>
          <w:tcPr>
            <w:tcW w:w="4833"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1.0%(2)</w:t>
            </w:r>
          </w:p>
        </w:tc>
      </w:tr>
      <w:tr w:rsidR="00DB4DEE" w:rsidRPr="00376CD5" w:rsidTr="00545DCB">
        <w:trPr>
          <w:trHeight w:val="324"/>
        </w:trPr>
        <w:tc>
          <w:tcPr>
            <w:cnfStyle w:val="001000000000" w:firstRow="0" w:lastRow="0" w:firstColumn="1" w:lastColumn="0" w:oddVBand="0" w:evenVBand="0" w:oddHBand="0" w:evenHBand="0" w:firstRowFirstColumn="0" w:firstRowLastColumn="0" w:lastRowFirstColumn="0" w:lastRowLastColumn="0"/>
            <w:tcW w:w="5139" w:type="dxa"/>
          </w:tcPr>
          <w:p w:rsidR="00DB4DEE" w:rsidRPr="00376CD5" w:rsidRDefault="00DB4DEE" w:rsidP="00545DCB">
            <w:pPr>
              <w:rPr>
                <w:rFonts w:eastAsia="Calibri" w:cs="Times New Roman"/>
                <w:b w:val="0"/>
              </w:rPr>
            </w:pPr>
            <w:r w:rsidRPr="00376CD5">
              <w:rPr>
                <w:rFonts w:eastAsia="Calibri" w:cs="Times New Roman"/>
                <w:b w:val="0"/>
              </w:rPr>
              <w:t>Small decline</w:t>
            </w:r>
          </w:p>
        </w:tc>
        <w:tc>
          <w:tcPr>
            <w:tcW w:w="4833"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12.7%(26)</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139" w:type="dxa"/>
          </w:tcPr>
          <w:p w:rsidR="00DB4DEE" w:rsidRPr="00376CD5" w:rsidRDefault="00DB4DEE" w:rsidP="00545DCB">
            <w:pPr>
              <w:rPr>
                <w:rFonts w:eastAsia="Calibri" w:cs="Times New Roman"/>
                <w:b w:val="0"/>
              </w:rPr>
            </w:pPr>
            <w:r w:rsidRPr="00376CD5">
              <w:rPr>
                <w:rFonts w:eastAsia="Calibri" w:cs="Times New Roman"/>
                <w:b w:val="0"/>
              </w:rPr>
              <w:t>Stay the same</w:t>
            </w:r>
          </w:p>
        </w:tc>
        <w:tc>
          <w:tcPr>
            <w:tcW w:w="4833"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58.3%(119)</w:t>
            </w:r>
          </w:p>
        </w:tc>
      </w:tr>
      <w:tr w:rsidR="00DB4DEE" w:rsidRPr="00376CD5" w:rsidTr="00545DCB">
        <w:trPr>
          <w:trHeight w:val="324"/>
        </w:trPr>
        <w:tc>
          <w:tcPr>
            <w:cnfStyle w:val="001000000000" w:firstRow="0" w:lastRow="0" w:firstColumn="1" w:lastColumn="0" w:oddVBand="0" w:evenVBand="0" w:oddHBand="0" w:evenHBand="0" w:firstRowFirstColumn="0" w:firstRowLastColumn="0" w:lastRowFirstColumn="0" w:lastRowLastColumn="0"/>
            <w:tcW w:w="5139" w:type="dxa"/>
          </w:tcPr>
          <w:p w:rsidR="00DB4DEE" w:rsidRPr="00376CD5" w:rsidRDefault="00DB4DEE" w:rsidP="00545DCB">
            <w:pPr>
              <w:rPr>
                <w:rFonts w:eastAsia="Calibri" w:cs="Times New Roman"/>
                <w:b w:val="0"/>
              </w:rPr>
            </w:pPr>
            <w:r w:rsidRPr="00376CD5">
              <w:rPr>
                <w:rFonts w:eastAsia="Calibri" w:cs="Times New Roman"/>
                <w:b w:val="0"/>
              </w:rPr>
              <w:t>Small increase</w:t>
            </w:r>
          </w:p>
        </w:tc>
        <w:tc>
          <w:tcPr>
            <w:tcW w:w="4833"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27.0%(55)</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139" w:type="dxa"/>
          </w:tcPr>
          <w:p w:rsidR="00DB4DEE" w:rsidRPr="00376CD5" w:rsidRDefault="00DB4DEE" w:rsidP="00545DCB">
            <w:pPr>
              <w:rPr>
                <w:rFonts w:eastAsia="Calibri" w:cs="Times New Roman"/>
                <w:b w:val="0"/>
              </w:rPr>
            </w:pPr>
            <w:r w:rsidRPr="00376CD5">
              <w:rPr>
                <w:rFonts w:eastAsia="Calibri" w:cs="Times New Roman"/>
                <w:b w:val="0"/>
              </w:rPr>
              <w:t>Large increase</w:t>
            </w:r>
          </w:p>
        </w:tc>
        <w:tc>
          <w:tcPr>
            <w:tcW w:w="4833"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1.0%(2)</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rFonts w:eastAsia="Calibri" w:cs="Times New Roman"/>
        </w:rPr>
      </w:pPr>
      <w:r w:rsidRPr="00376CD5">
        <w:rPr>
          <w:rFonts w:eastAsia="Calibri" w:cs="Times New Roman"/>
        </w:rPr>
        <w:lastRenderedPageBreak/>
        <w:t>Information and communications systems (Intensity index score: +19.4)</w:t>
      </w:r>
    </w:p>
    <w:tbl>
      <w:tblPr>
        <w:tblStyle w:val="LightShading1"/>
        <w:tblW w:w="9972" w:type="dxa"/>
        <w:tblInd w:w="108" w:type="dxa"/>
        <w:tblLook w:val="04A0" w:firstRow="1" w:lastRow="0" w:firstColumn="1" w:lastColumn="0" w:noHBand="0" w:noVBand="1"/>
      </w:tblPr>
      <w:tblGrid>
        <w:gridCol w:w="5154"/>
        <w:gridCol w:w="4818"/>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154" w:type="dxa"/>
          </w:tcPr>
          <w:p w:rsidR="00DB4DEE" w:rsidRPr="00376CD5" w:rsidRDefault="00DB4DEE" w:rsidP="00545DCB">
            <w:pPr>
              <w:rPr>
                <w:rFonts w:eastAsia="Calibri" w:cs="Times New Roman"/>
                <w:b w:val="0"/>
              </w:rPr>
            </w:pPr>
          </w:p>
        </w:tc>
        <w:tc>
          <w:tcPr>
            <w:tcW w:w="4818"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5154" w:type="dxa"/>
          </w:tcPr>
          <w:p w:rsidR="00DB4DEE" w:rsidRPr="00376CD5" w:rsidRDefault="00DB4DEE" w:rsidP="00545DCB">
            <w:pPr>
              <w:rPr>
                <w:rFonts w:eastAsia="Calibri" w:cs="Times New Roman"/>
                <w:b w:val="0"/>
              </w:rPr>
            </w:pPr>
            <w:r w:rsidRPr="00376CD5">
              <w:rPr>
                <w:rFonts w:eastAsia="Calibri" w:cs="Times New Roman"/>
                <w:b w:val="0"/>
              </w:rPr>
              <w:t>Large decline</w:t>
            </w:r>
          </w:p>
        </w:tc>
        <w:tc>
          <w:tcPr>
            <w:tcW w:w="4818"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0%(0)</w:t>
            </w:r>
          </w:p>
        </w:tc>
      </w:tr>
      <w:tr w:rsidR="00DB4DEE" w:rsidRPr="00376CD5" w:rsidTr="00545DCB">
        <w:trPr>
          <w:trHeight w:val="317"/>
        </w:trPr>
        <w:tc>
          <w:tcPr>
            <w:cnfStyle w:val="001000000000" w:firstRow="0" w:lastRow="0" w:firstColumn="1" w:lastColumn="0" w:oddVBand="0" w:evenVBand="0" w:oddHBand="0" w:evenHBand="0" w:firstRowFirstColumn="0" w:firstRowLastColumn="0" w:lastRowFirstColumn="0" w:lastRowLastColumn="0"/>
            <w:tcW w:w="5154" w:type="dxa"/>
          </w:tcPr>
          <w:p w:rsidR="00DB4DEE" w:rsidRPr="00376CD5" w:rsidRDefault="00DB4DEE" w:rsidP="00545DCB">
            <w:pPr>
              <w:rPr>
                <w:rFonts w:eastAsia="Calibri" w:cs="Times New Roman"/>
                <w:b w:val="0"/>
              </w:rPr>
            </w:pPr>
            <w:r w:rsidRPr="00376CD5">
              <w:rPr>
                <w:rFonts w:eastAsia="Calibri" w:cs="Times New Roman"/>
                <w:b w:val="0"/>
              </w:rPr>
              <w:t>Small decline</w:t>
            </w:r>
          </w:p>
        </w:tc>
        <w:tc>
          <w:tcPr>
            <w:tcW w:w="4818"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3.5%(7)</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154" w:type="dxa"/>
          </w:tcPr>
          <w:p w:rsidR="00DB4DEE" w:rsidRPr="00376CD5" w:rsidRDefault="00DB4DEE" w:rsidP="00545DCB">
            <w:pPr>
              <w:rPr>
                <w:rFonts w:eastAsia="Calibri" w:cs="Times New Roman"/>
                <w:b w:val="0"/>
              </w:rPr>
            </w:pPr>
            <w:r w:rsidRPr="00376CD5">
              <w:rPr>
                <w:rFonts w:eastAsia="Calibri" w:cs="Times New Roman"/>
                <w:b w:val="0"/>
              </w:rPr>
              <w:t>Stay the same</w:t>
            </w:r>
          </w:p>
        </w:tc>
        <w:tc>
          <w:tcPr>
            <w:tcW w:w="4818"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56.7%(114)</w:t>
            </w:r>
          </w:p>
        </w:tc>
      </w:tr>
      <w:tr w:rsidR="00DB4DEE" w:rsidRPr="00376CD5" w:rsidTr="00545DCB">
        <w:trPr>
          <w:trHeight w:val="317"/>
        </w:trPr>
        <w:tc>
          <w:tcPr>
            <w:cnfStyle w:val="001000000000" w:firstRow="0" w:lastRow="0" w:firstColumn="1" w:lastColumn="0" w:oddVBand="0" w:evenVBand="0" w:oddHBand="0" w:evenHBand="0" w:firstRowFirstColumn="0" w:firstRowLastColumn="0" w:lastRowFirstColumn="0" w:lastRowLastColumn="0"/>
            <w:tcW w:w="5154" w:type="dxa"/>
          </w:tcPr>
          <w:p w:rsidR="00DB4DEE" w:rsidRPr="00376CD5" w:rsidRDefault="00DB4DEE" w:rsidP="00545DCB">
            <w:pPr>
              <w:rPr>
                <w:rFonts w:eastAsia="Calibri" w:cs="Times New Roman"/>
                <w:b w:val="0"/>
              </w:rPr>
            </w:pPr>
            <w:r w:rsidRPr="00376CD5">
              <w:rPr>
                <w:rFonts w:eastAsia="Calibri" w:cs="Times New Roman"/>
                <w:b w:val="0"/>
              </w:rPr>
              <w:t>Small increase</w:t>
            </w:r>
          </w:p>
        </w:tc>
        <w:tc>
          <w:tcPr>
            <w:tcW w:w="4818"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37.3%(75)</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154" w:type="dxa"/>
          </w:tcPr>
          <w:p w:rsidR="00DB4DEE" w:rsidRPr="00376CD5" w:rsidRDefault="00DB4DEE" w:rsidP="00545DCB">
            <w:pPr>
              <w:rPr>
                <w:rFonts w:eastAsia="Calibri" w:cs="Times New Roman"/>
                <w:b w:val="0"/>
              </w:rPr>
            </w:pPr>
            <w:r w:rsidRPr="00376CD5">
              <w:rPr>
                <w:rFonts w:eastAsia="Calibri" w:cs="Times New Roman"/>
                <w:b w:val="0"/>
              </w:rPr>
              <w:t>Large increase</w:t>
            </w:r>
          </w:p>
        </w:tc>
        <w:tc>
          <w:tcPr>
            <w:tcW w:w="4818"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2.5%(5)</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rFonts w:eastAsia="Calibri" w:cs="Times New Roman"/>
        </w:rPr>
      </w:pPr>
      <w:r w:rsidRPr="00376CD5">
        <w:rPr>
          <w:rFonts w:eastAsia="Calibri" w:cs="Times New Roman"/>
        </w:rPr>
        <w:t>Business and professional support services (Intensity index score: +9.6)</w:t>
      </w:r>
    </w:p>
    <w:tbl>
      <w:tblPr>
        <w:tblStyle w:val="LightShading1"/>
        <w:tblW w:w="9972" w:type="dxa"/>
        <w:tblInd w:w="108" w:type="dxa"/>
        <w:tblLook w:val="04A0" w:firstRow="1" w:lastRow="0" w:firstColumn="1" w:lastColumn="0" w:noHBand="0" w:noVBand="1"/>
      </w:tblPr>
      <w:tblGrid>
        <w:gridCol w:w="5162"/>
        <w:gridCol w:w="4810"/>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162" w:type="dxa"/>
          </w:tcPr>
          <w:p w:rsidR="00DB4DEE" w:rsidRPr="00376CD5" w:rsidRDefault="00DB4DEE" w:rsidP="00545DCB">
            <w:pPr>
              <w:rPr>
                <w:rFonts w:eastAsia="Calibri" w:cs="Times New Roman"/>
                <w:b w:val="0"/>
              </w:rPr>
            </w:pPr>
          </w:p>
        </w:tc>
        <w:tc>
          <w:tcPr>
            <w:tcW w:w="4810"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162" w:type="dxa"/>
          </w:tcPr>
          <w:p w:rsidR="00DB4DEE" w:rsidRPr="00376CD5" w:rsidRDefault="00DB4DEE" w:rsidP="00545DCB">
            <w:pPr>
              <w:rPr>
                <w:rFonts w:eastAsia="Calibri" w:cs="Times New Roman"/>
                <w:b w:val="0"/>
              </w:rPr>
            </w:pPr>
            <w:r w:rsidRPr="00376CD5">
              <w:rPr>
                <w:rFonts w:eastAsia="Calibri" w:cs="Times New Roman"/>
                <w:b w:val="0"/>
              </w:rPr>
              <w:t>Large decline</w:t>
            </w:r>
          </w:p>
        </w:tc>
        <w:tc>
          <w:tcPr>
            <w:tcW w:w="481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0.5%(1)</w:t>
            </w:r>
          </w:p>
        </w:tc>
      </w:tr>
      <w:tr w:rsidR="00DB4DEE" w:rsidRPr="00376CD5" w:rsidTr="00545DCB">
        <w:trPr>
          <w:trHeight w:val="314"/>
        </w:trPr>
        <w:tc>
          <w:tcPr>
            <w:cnfStyle w:val="001000000000" w:firstRow="0" w:lastRow="0" w:firstColumn="1" w:lastColumn="0" w:oddVBand="0" w:evenVBand="0" w:oddHBand="0" w:evenHBand="0" w:firstRowFirstColumn="0" w:firstRowLastColumn="0" w:lastRowFirstColumn="0" w:lastRowLastColumn="0"/>
            <w:tcW w:w="5162" w:type="dxa"/>
          </w:tcPr>
          <w:p w:rsidR="00DB4DEE" w:rsidRPr="00376CD5" w:rsidRDefault="00DB4DEE" w:rsidP="00545DCB">
            <w:pPr>
              <w:rPr>
                <w:rFonts w:eastAsia="Calibri" w:cs="Times New Roman"/>
                <w:b w:val="0"/>
              </w:rPr>
            </w:pPr>
            <w:r w:rsidRPr="00376CD5">
              <w:rPr>
                <w:rFonts w:eastAsia="Calibri" w:cs="Times New Roman"/>
                <w:b w:val="0"/>
              </w:rPr>
              <w:t>Small decline</w:t>
            </w:r>
          </w:p>
        </w:tc>
        <w:tc>
          <w:tcPr>
            <w:tcW w:w="4810"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9.9%(20)</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162" w:type="dxa"/>
          </w:tcPr>
          <w:p w:rsidR="00DB4DEE" w:rsidRPr="00376CD5" w:rsidRDefault="00DB4DEE" w:rsidP="00545DCB">
            <w:pPr>
              <w:rPr>
                <w:rFonts w:eastAsia="Calibri" w:cs="Times New Roman"/>
                <w:b w:val="0"/>
              </w:rPr>
            </w:pPr>
            <w:r w:rsidRPr="00376CD5">
              <w:rPr>
                <w:rFonts w:eastAsia="Calibri" w:cs="Times New Roman"/>
                <w:b w:val="0"/>
              </w:rPr>
              <w:t>Stay the same</w:t>
            </w:r>
          </w:p>
        </w:tc>
        <w:tc>
          <w:tcPr>
            <w:tcW w:w="481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60.6%(123)</w:t>
            </w:r>
          </w:p>
        </w:tc>
      </w:tr>
      <w:tr w:rsidR="00DB4DEE" w:rsidRPr="00376CD5" w:rsidTr="00545DCB">
        <w:trPr>
          <w:trHeight w:val="314"/>
        </w:trPr>
        <w:tc>
          <w:tcPr>
            <w:cnfStyle w:val="001000000000" w:firstRow="0" w:lastRow="0" w:firstColumn="1" w:lastColumn="0" w:oddVBand="0" w:evenVBand="0" w:oddHBand="0" w:evenHBand="0" w:firstRowFirstColumn="0" w:firstRowLastColumn="0" w:lastRowFirstColumn="0" w:lastRowLastColumn="0"/>
            <w:tcW w:w="5162" w:type="dxa"/>
          </w:tcPr>
          <w:p w:rsidR="00DB4DEE" w:rsidRPr="00376CD5" w:rsidRDefault="00DB4DEE" w:rsidP="00545DCB">
            <w:pPr>
              <w:rPr>
                <w:rFonts w:eastAsia="Calibri" w:cs="Times New Roman"/>
                <w:b w:val="0"/>
              </w:rPr>
            </w:pPr>
            <w:r w:rsidRPr="00376CD5">
              <w:rPr>
                <w:rFonts w:eastAsia="Calibri" w:cs="Times New Roman"/>
                <w:b w:val="0"/>
              </w:rPr>
              <w:t>Small increase</w:t>
            </w:r>
          </w:p>
        </w:tc>
        <w:tc>
          <w:tcPr>
            <w:tcW w:w="4810"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28.1%(57)</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162" w:type="dxa"/>
          </w:tcPr>
          <w:p w:rsidR="00DB4DEE" w:rsidRPr="00376CD5" w:rsidRDefault="00DB4DEE" w:rsidP="00545DCB">
            <w:pPr>
              <w:rPr>
                <w:rFonts w:eastAsia="Calibri" w:cs="Times New Roman"/>
                <w:b w:val="0"/>
              </w:rPr>
            </w:pPr>
            <w:r w:rsidRPr="00376CD5">
              <w:rPr>
                <w:rFonts w:eastAsia="Calibri" w:cs="Times New Roman"/>
                <w:b w:val="0"/>
              </w:rPr>
              <w:t>Large increase</w:t>
            </w:r>
          </w:p>
        </w:tc>
        <w:tc>
          <w:tcPr>
            <w:tcW w:w="481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1.0%(2)</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rFonts w:eastAsia="Calibri" w:cs="Times New Roman"/>
        </w:rPr>
      </w:pPr>
      <w:r w:rsidRPr="00376CD5">
        <w:rPr>
          <w:rFonts w:eastAsia="Calibri" w:cs="Times New Roman"/>
        </w:rPr>
        <w:t>Personal services (Intensity index score: +5.5)</w:t>
      </w:r>
    </w:p>
    <w:tbl>
      <w:tblPr>
        <w:tblStyle w:val="LightShading1"/>
        <w:tblW w:w="9972" w:type="dxa"/>
        <w:tblInd w:w="108" w:type="dxa"/>
        <w:tblLook w:val="04A0" w:firstRow="1" w:lastRow="0" w:firstColumn="1" w:lastColumn="0" w:noHBand="0" w:noVBand="1"/>
      </w:tblPr>
      <w:tblGrid>
        <w:gridCol w:w="5087"/>
        <w:gridCol w:w="4885"/>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087" w:type="dxa"/>
          </w:tcPr>
          <w:p w:rsidR="00DB4DEE" w:rsidRPr="00376CD5" w:rsidRDefault="00DB4DEE" w:rsidP="00545DCB">
            <w:pPr>
              <w:rPr>
                <w:rFonts w:eastAsia="Calibri" w:cs="Times New Roman"/>
                <w:b w:val="0"/>
              </w:rPr>
            </w:pPr>
          </w:p>
        </w:tc>
        <w:tc>
          <w:tcPr>
            <w:tcW w:w="4885"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087" w:type="dxa"/>
          </w:tcPr>
          <w:p w:rsidR="00DB4DEE" w:rsidRPr="00376CD5" w:rsidRDefault="00DB4DEE" w:rsidP="00545DCB">
            <w:pPr>
              <w:rPr>
                <w:rFonts w:eastAsia="Calibri" w:cs="Times New Roman"/>
                <w:b w:val="0"/>
              </w:rPr>
            </w:pPr>
            <w:r w:rsidRPr="00376CD5">
              <w:rPr>
                <w:rFonts w:eastAsia="Calibri" w:cs="Times New Roman"/>
                <w:b w:val="0"/>
              </w:rPr>
              <w:t>Large decline</w:t>
            </w:r>
          </w:p>
        </w:tc>
        <w:tc>
          <w:tcPr>
            <w:tcW w:w="488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0.5%(1)</w:t>
            </w:r>
          </w:p>
        </w:tc>
      </w:tr>
      <w:tr w:rsidR="00DB4DEE" w:rsidRPr="00376CD5" w:rsidTr="00545DCB">
        <w:trPr>
          <w:trHeight w:val="338"/>
        </w:trPr>
        <w:tc>
          <w:tcPr>
            <w:cnfStyle w:val="001000000000" w:firstRow="0" w:lastRow="0" w:firstColumn="1" w:lastColumn="0" w:oddVBand="0" w:evenVBand="0" w:oddHBand="0" w:evenHBand="0" w:firstRowFirstColumn="0" w:firstRowLastColumn="0" w:lastRowFirstColumn="0" w:lastRowLastColumn="0"/>
            <w:tcW w:w="5087" w:type="dxa"/>
          </w:tcPr>
          <w:p w:rsidR="00DB4DEE" w:rsidRPr="00376CD5" w:rsidRDefault="00DB4DEE" w:rsidP="00545DCB">
            <w:pPr>
              <w:rPr>
                <w:rFonts w:eastAsia="Calibri" w:cs="Times New Roman"/>
                <w:b w:val="0"/>
              </w:rPr>
            </w:pPr>
            <w:r w:rsidRPr="00376CD5">
              <w:rPr>
                <w:rFonts w:eastAsia="Calibri" w:cs="Times New Roman"/>
                <w:b w:val="0"/>
              </w:rPr>
              <w:t>Small decline</w:t>
            </w:r>
          </w:p>
        </w:tc>
        <w:tc>
          <w:tcPr>
            <w:tcW w:w="488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12.4%(25)</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087" w:type="dxa"/>
          </w:tcPr>
          <w:p w:rsidR="00DB4DEE" w:rsidRPr="00376CD5" w:rsidRDefault="00DB4DEE" w:rsidP="00545DCB">
            <w:pPr>
              <w:rPr>
                <w:rFonts w:eastAsia="Calibri" w:cs="Times New Roman"/>
                <w:b w:val="0"/>
              </w:rPr>
            </w:pPr>
            <w:r w:rsidRPr="00376CD5">
              <w:rPr>
                <w:rFonts w:eastAsia="Calibri" w:cs="Times New Roman"/>
                <w:b w:val="0"/>
              </w:rPr>
              <w:t>Stay the same</w:t>
            </w:r>
          </w:p>
        </w:tc>
        <w:tc>
          <w:tcPr>
            <w:tcW w:w="488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62.7%(126)</w:t>
            </w:r>
          </w:p>
        </w:tc>
      </w:tr>
      <w:tr w:rsidR="00DB4DEE" w:rsidRPr="00376CD5" w:rsidTr="00545DCB">
        <w:trPr>
          <w:trHeight w:val="338"/>
        </w:trPr>
        <w:tc>
          <w:tcPr>
            <w:cnfStyle w:val="001000000000" w:firstRow="0" w:lastRow="0" w:firstColumn="1" w:lastColumn="0" w:oddVBand="0" w:evenVBand="0" w:oddHBand="0" w:evenHBand="0" w:firstRowFirstColumn="0" w:firstRowLastColumn="0" w:lastRowFirstColumn="0" w:lastRowLastColumn="0"/>
            <w:tcW w:w="5087" w:type="dxa"/>
          </w:tcPr>
          <w:p w:rsidR="00DB4DEE" w:rsidRPr="00376CD5" w:rsidRDefault="00DB4DEE" w:rsidP="00545DCB">
            <w:pPr>
              <w:rPr>
                <w:rFonts w:eastAsia="Calibri" w:cs="Times New Roman"/>
                <w:b w:val="0"/>
              </w:rPr>
            </w:pPr>
            <w:r w:rsidRPr="00376CD5">
              <w:rPr>
                <w:rFonts w:eastAsia="Calibri" w:cs="Times New Roman"/>
                <w:b w:val="0"/>
              </w:rPr>
              <w:t>Small increase</w:t>
            </w:r>
          </w:p>
        </w:tc>
        <w:tc>
          <w:tcPr>
            <w:tcW w:w="488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24.4%(49)</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087" w:type="dxa"/>
          </w:tcPr>
          <w:p w:rsidR="00DB4DEE" w:rsidRPr="00376CD5" w:rsidRDefault="00DB4DEE" w:rsidP="00545DCB">
            <w:pPr>
              <w:rPr>
                <w:rFonts w:eastAsia="Calibri" w:cs="Times New Roman"/>
                <w:b w:val="0"/>
              </w:rPr>
            </w:pPr>
            <w:r w:rsidRPr="00376CD5">
              <w:rPr>
                <w:rFonts w:eastAsia="Calibri" w:cs="Times New Roman"/>
                <w:b w:val="0"/>
              </w:rPr>
              <w:t>Large increase</w:t>
            </w:r>
          </w:p>
        </w:tc>
        <w:tc>
          <w:tcPr>
            <w:tcW w:w="488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proofErr w:type="gramStart"/>
            <w:r w:rsidRPr="00376CD5">
              <w:t>0%</w:t>
            </w:r>
            <w:proofErr w:type="gramEnd"/>
            <w:r w:rsidRPr="00376CD5">
              <w:t>())</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rFonts w:eastAsia="Calibri" w:cs="Times New Roman"/>
        </w:rPr>
      </w:pPr>
      <w:r w:rsidRPr="00376CD5">
        <w:rPr>
          <w:rFonts w:eastAsia="Calibri" w:cs="Times New Roman"/>
        </w:rPr>
        <w:t>Natural resources and mining (Intensity index score: -13.7)</w:t>
      </w:r>
    </w:p>
    <w:tbl>
      <w:tblPr>
        <w:tblStyle w:val="LightShading1"/>
        <w:tblW w:w="9972" w:type="dxa"/>
        <w:tblInd w:w="108" w:type="dxa"/>
        <w:tblLook w:val="04A0" w:firstRow="1" w:lastRow="0" w:firstColumn="1" w:lastColumn="0" w:noHBand="0" w:noVBand="1"/>
      </w:tblPr>
      <w:tblGrid>
        <w:gridCol w:w="5139"/>
        <w:gridCol w:w="4833"/>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139" w:type="dxa"/>
          </w:tcPr>
          <w:p w:rsidR="00DB4DEE" w:rsidRPr="00376CD5" w:rsidRDefault="00DB4DEE" w:rsidP="00545DCB">
            <w:pPr>
              <w:rPr>
                <w:rFonts w:eastAsia="Calibri" w:cs="Times New Roman"/>
                <w:b w:val="0"/>
              </w:rPr>
            </w:pPr>
          </w:p>
        </w:tc>
        <w:tc>
          <w:tcPr>
            <w:tcW w:w="4833"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139" w:type="dxa"/>
          </w:tcPr>
          <w:p w:rsidR="00DB4DEE" w:rsidRPr="00376CD5" w:rsidRDefault="00DB4DEE" w:rsidP="00545DCB">
            <w:pPr>
              <w:rPr>
                <w:rFonts w:eastAsia="Calibri" w:cs="Times New Roman"/>
                <w:b w:val="0"/>
              </w:rPr>
            </w:pPr>
            <w:r w:rsidRPr="00376CD5">
              <w:rPr>
                <w:rFonts w:eastAsia="Calibri" w:cs="Times New Roman"/>
                <w:b w:val="0"/>
              </w:rPr>
              <w:t>Large decline</w:t>
            </w:r>
          </w:p>
        </w:tc>
        <w:tc>
          <w:tcPr>
            <w:tcW w:w="4833"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2.5%(5)</w:t>
            </w:r>
          </w:p>
        </w:tc>
      </w:tr>
      <w:tr w:rsidR="00DB4DEE" w:rsidRPr="00376CD5" w:rsidTr="00545DCB">
        <w:trPr>
          <w:trHeight w:val="338"/>
        </w:trPr>
        <w:tc>
          <w:tcPr>
            <w:cnfStyle w:val="001000000000" w:firstRow="0" w:lastRow="0" w:firstColumn="1" w:lastColumn="0" w:oddVBand="0" w:evenVBand="0" w:oddHBand="0" w:evenHBand="0" w:firstRowFirstColumn="0" w:firstRowLastColumn="0" w:lastRowFirstColumn="0" w:lastRowLastColumn="0"/>
            <w:tcW w:w="5139" w:type="dxa"/>
          </w:tcPr>
          <w:p w:rsidR="00DB4DEE" w:rsidRPr="00376CD5" w:rsidRDefault="00DB4DEE" w:rsidP="00545DCB">
            <w:pPr>
              <w:rPr>
                <w:rFonts w:eastAsia="Calibri" w:cs="Times New Roman"/>
                <w:b w:val="0"/>
              </w:rPr>
            </w:pPr>
            <w:r w:rsidRPr="00376CD5">
              <w:rPr>
                <w:rFonts w:eastAsia="Calibri" w:cs="Times New Roman"/>
                <w:b w:val="0"/>
              </w:rPr>
              <w:t>Small decline</w:t>
            </w:r>
          </w:p>
        </w:tc>
        <w:tc>
          <w:tcPr>
            <w:tcW w:w="4833"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35.5%(70)</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139" w:type="dxa"/>
          </w:tcPr>
          <w:p w:rsidR="00DB4DEE" w:rsidRPr="00376CD5" w:rsidRDefault="00DB4DEE" w:rsidP="00545DCB">
            <w:pPr>
              <w:rPr>
                <w:rFonts w:eastAsia="Calibri" w:cs="Times New Roman"/>
                <w:b w:val="0"/>
              </w:rPr>
            </w:pPr>
            <w:r w:rsidRPr="00376CD5">
              <w:rPr>
                <w:rFonts w:eastAsia="Calibri" w:cs="Times New Roman"/>
                <w:b w:val="0"/>
              </w:rPr>
              <w:t>Stay the same</w:t>
            </w:r>
          </w:p>
        </w:tc>
        <w:tc>
          <w:tcPr>
            <w:tcW w:w="4833"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50.8%(100)</w:t>
            </w:r>
          </w:p>
        </w:tc>
      </w:tr>
      <w:tr w:rsidR="00DB4DEE" w:rsidRPr="00376CD5" w:rsidTr="00545DCB">
        <w:trPr>
          <w:trHeight w:val="338"/>
        </w:trPr>
        <w:tc>
          <w:tcPr>
            <w:cnfStyle w:val="001000000000" w:firstRow="0" w:lastRow="0" w:firstColumn="1" w:lastColumn="0" w:oddVBand="0" w:evenVBand="0" w:oddHBand="0" w:evenHBand="0" w:firstRowFirstColumn="0" w:firstRowLastColumn="0" w:lastRowFirstColumn="0" w:lastRowLastColumn="0"/>
            <w:tcW w:w="5139" w:type="dxa"/>
          </w:tcPr>
          <w:p w:rsidR="00DB4DEE" w:rsidRPr="00376CD5" w:rsidRDefault="00DB4DEE" w:rsidP="00545DCB">
            <w:pPr>
              <w:rPr>
                <w:rFonts w:eastAsia="Calibri" w:cs="Times New Roman"/>
                <w:b w:val="0"/>
              </w:rPr>
            </w:pPr>
            <w:r w:rsidRPr="00376CD5">
              <w:rPr>
                <w:rFonts w:eastAsia="Calibri" w:cs="Times New Roman"/>
                <w:b w:val="0"/>
              </w:rPr>
              <w:t>Small increase</w:t>
            </w:r>
          </w:p>
        </w:tc>
        <w:tc>
          <w:tcPr>
            <w:tcW w:w="4833"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9.1%(18)</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139" w:type="dxa"/>
          </w:tcPr>
          <w:p w:rsidR="00DB4DEE" w:rsidRPr="00376CD5" w:rsidRDefault="00DB4DEE" w:rsidP="00545DCB">
            <w:pPr>
              <w:rPr>
                <w:rFonts w:eastAsia="Calibri" w:cs="Times New Roman"/>
                <w:b w:val="0"/>
              </w:rPr>
            </w:pPr>
            <w:r w:rsidRPr="00376CD5">
              <w:rPr>
                <w:rFonts w:eastAsia="Calibri" w:cs="Times New Roman"/>
                <w:b w:val="0"/>
              </w:rPr>
              <w:t>Large increase</w:t>
            </w:r>
          </w:p>
        </w:tc>
        <w:tc>
          <w:tcPr>
            <w:tcW w:w="4833"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2.0%(4)</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rFonts w:eastAsia="Calibri" w:cs="Times New Roman"/>
        </w:rPr>
      </w:pPr>
      <w:r w:rsidRPr="00376CD5">
        <w:rPr>
          <w:rFonts w:eastAsia="Calibri" w:cs="Times New Roman"/>
        </w:rPr>
        <w:t>Public administration (Intensity index score: -4.2)</w:t>
      </w:r>
    </w:p>
    <w:tbl>
      <w:tblPr>
        <w:tblStyle w:val="LightShading1"/>
        <w:tblW w:w="9972" w:type="dxa"/>
        <w:tblInd w:w="108" w:type="dxa"/>
        <w:tblLook w:val="04A0" w:firstRow="1" w:lastRow="0" w:firstColumn="1" w:lastColumn="0" w:noHBand="0" w:noVBand="1"/>
      </w:tblPr>
      <w:tblGrid>
        <w:gridCol w:w="5132"/>
        <w:gridCol w:w="4840"/>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132" w:type="dxa"/>
          </w:tcPr>
          <w:p w:rsidR="00DB4DEE" w:rsidRPr="00376CD5" w:rsidRDefault="00DB4DEE" w:rsidP="00545DCB">
            <w:pPr>
              <w:rPr>
                <w:rFonts w:eastAsia="Calibri" w:cs="Times New Roman"/>
                <w:b w:val="0"/>
              </w:rPr>
            </w:pPr>
          </w:p>
        </w:tc>
        <w:tc>
          <w:tcPr>
            <w:tcW w:w="4840"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5132" w:type="dxa"/>
          </w:tcPr>
          <w:p w:rsidR="00DB4DEE" w:rsidRPr="00376CD5" w:rsidRDefault="00DB4DEE" w:rsidP="00545DCB">
            <w:pPr>
              <w:rPr>
                <w:rFonts w:eastAsia="Calibri" w:cs="Times New Roman"/>
                <w:b w:val="0"/>
              </w:rPr>
            </w:pPr>
            <w:r w:rsidRPr="00376CD5">
              <w:rPr>
                <w:rFonts w:eastAsia="Calibri" w:cs="Times New Roman"/>
                <w:b w:val="0"/>
              </w:rPr>
              <w:t>Large decline</w:t>
            </w:r>
          </w:p>
        </w:tc>
        <w:tc>
          <w:tcPr>
            <w:tcW w:w="484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1.0%(2)</w:t>
            </w:r>
          </w:p>
        </w:tc>
      </w:tr>
      <w:tr w:rsidR="00DB4DEE" w:rsidRPr="00376CD5" w:rsidTr="00545DCB">
        <w:trPr>
          <w:trHeight w:val="345"/>
        </w:trPr>
        <w:tc>
          <w:tcPr>
            <w:cnfStyle w:val="001000000000" w:firstRow="0" w:lastRow="0" w:firstColumn="1" w:lastColumn="0" w:oddVBand="0" w:evenVBand="0" w:oddHBand="0" w:evenHBand="0" w:firstRowFirstColumn="0" w:firstRowLastColumn="0" w:lastRowFirstColumn="0" w:lastRowLastColumn="0"/>
            <w:tcW w:w="5132" w:type="dxa"/>
          </w:tcPr>
          <w:p w:rsidR="00DB4DEE" w:rsidRPr="00376CD5" w:rsidRDefault="00DB4DEE" w:rsidP="00545DCB">
            <w:pPr>
              <w:rPr>
                <w:rFonts w:eastAsia="Calibri" w:cs="Times New Roman"/>
                <w:b w:val="0"/>
              </w:rPr>
            </w:pPr>
            <w:r w:rsidRPr="00376CD5">
              <w:rPr>
                <w:rFonts w:eastAsia="Calibri" w:cs="Times New Roman"/>
                <w:b w:val="0"/>
              </w:rPr>
              <w:t>Small decline</w:t>
            </w:r>
          </w:p>
        </w:tc>
        <w:tc>
          <w:tcPr>
            <w:tcW w:w="4840"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20.9%(42)</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132" w:type="dxa"/>
          </w:tcPr>
          <w:p w:rsidR="00DB4DEE" w:rsidRPr="00376CD5" w:rsidRDefault="00DB4DEE" w:rsidP="00545DCB">
            <w:pPr>
              <w:rPr>
                <w:rFonts w:eastAsia="Calibri" w:cs="Times New Roman"/>
                <w:b w:val="0"/>
              </w:rPr>
            </w:pPr>
            <w:r w:rsidRPr="00376CD5">
              <w:rPr>
                <w:rFonts w:eastAsia="Calibri" w:cs="Times New Roman"/>
                <w:b w:val="0"/>
              </w:rPr>
              <w:t>Stay the same</w:t>
            </w:r>
          </w:p>
        </w:tc>
        <w:tc>
          <w:tcPr>
            <w:tcW w:w="484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65.2%(131)</w:t>
            </w:r>
          </w:p>
        </w:tc>
      </w:tr>
      <w:tr w:rsidR="00DB4DEE" w:rsidRPr="00376CD5" w:rsidTr="00545DCB">
        <w:trPr>
          <w:trHeight w:val="345"/>
        </w:trPr>
        <w:tc>
          <w:tcPr>
            <w:cnfStyle w:val="001000000000" w:firstRow="0" w:lastRow="0" w:firstColumn="1" w:lastColumn="0" w:oddVBand="0" w:evenVBand="0" w:oddHBand="0" w:evenHBand="0" w:firstRowFirstColumn="0" w:firstRowLastColumn="0" w:lastRowFirstColumn="0" w:lastRowLastColumn="0"/>
            <w:tcW w:w="5132" w:type="dxa"/>
          </w:tcPr>
          <w:p w:rsidR="00DB4DEE" w:rsidRPr="00376CD5" w:rsidRDefault="00DB4DEE" w:rsidP="00545DCB">
            <w:pPr>
              <w:rPr>
                <w:rFonts w:eastAsia="Calibri" w:cs="Times New Roman"/>
                <w:b w:val="0"/>
              </w:rPr>
            </w:pPr>
            <w:r w:rsidRPr="00376CD5">
              <w:rPr>
                <w:rFonts w:eastAsia="Calibri" w:cs="Times New Roman"/>
                <w:b w:val="0"/>
              </w:rPr>
              <w:t>Small increase</w:t>
            </w:r>
          </w:p>
        </w:tc>
        <w:tc>
          <w:tcPr>
            <w:tcW w:w="4840"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11.4%(23)</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132" w:type="dxa"/>
          </w:tcPr>
          <w:p w:rsidR="00DB4DEE" w:rsidRPr="00376CD5" w:rsidRDefault="00DB4DEE" w:rsidP="00545DCB">
            <w:pPr>
              <w:rPr>
                <w:rFonts w:eastAsia="Calibri" w:cs="Times New Roman"/>
                <w:b w:val="0"/>
              </w:rPr>
            </w:pPr>
            <w:r w:rsidRPr="00376CD5">
              <w:rPr>
                <w:rFonts w:eastAsia="Calibri" w:cs="Times New Roman"/>
                <w:b w:val="0"/>
              </w:rPr>
              <w:t>Large increase</w:t>
            </w:r>
          </w:p>
        </w:tc>
        <w:tc>
          <w:tcPr>
            <w:tcW w:w="484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1.5%(3)</w:t>
            </w:r>
          </w:p>
        </w:tc>
      </w:tr>
    </w:tbl>
    <w:p w:rsidR="00DB4DEE" w:rsidRPr="00376CD5" w:rsidRDefault="00DB4DEE" w:rsidP="00DB4DEE">
      <w:pPr>
        <w:spacing w:after="0" w:line="240" w:lineRule="auto"/>
        <w:rPr>
          <w:rFonts w:eastAsia="Calibri" w:cs="Times New Roman"/>
        </w:rPr>
      </w:pPr>
      <w:r w:rsidRPr="00376CD5">
        <w:rPr>
          <w:rFonts w:eastAsia="Calibri" w:cs="Times New Roman"/>
        </w:rPr>
        <w:lastRenderedPageBreak/>
        <w:t xml:space="preserve">Which of the above economic sectors best describes your firm’s </w:t>
      </w:r>
      <w:r w:rsidRPr="00376CD5">
        <w:rPr>
          <w:rFonts w:eastAsia="Calibri" w:cs="Times New Roman"/>
          <w:u w:val="single"/>
        </w:rPr>
        <w:t>primary economic activity?</w:t>
      </w:r>
      <w:r w:rsidRPr="00376CD5">
        <w:rPr>
          <w:rFonts w:eastAsia="Calibri" w:cs="Times New Roman"/>
        </w:rPr>
        <w:t xml:space="preserve"> </w:t>
      </w:r>
    </w:p>
    <w:p w:rsidR="00DB4DEE" w:rsidRPr="00376CD5" w:rsidRDefault="00DB4DEE" w:rsidP="00DB4DEE">
      <w:pPr>
        <w:spacing w:after="0" w:line="240" w:lineRule="auto"/>
        <w:rPr>
          <w:rFonts w:eastAsia="Calibri" w:cs="Times New Roman"/>
        </w:rPr>
      </w:pPr>
      <w:r w:rsidRPr="00376CD5">
        <w:rPr>
          <w:rFonts w:eastAsia="Calibri" w:cs="Times New Roman"/>
        </w:rPr>
        <w:t>(Intensity index score for own sector: +10.8)</w:t>
      </w:r>
    </w:p>
    <w:tbl>
      <w:tblPr>
        <w:tblStyle w:val="LightShading1"/>
        <w:tblW w:w="9882" w:type="dxa"/>
        <w:tblInd w:w="198" w:type="dxa"/>
        <w:tblLook w:val="04A0" w:firstRow="1" w:lastRow="0" w:firstColumn="1" w:lastColumn="0" w:noHBand="0" w:noVBand="1"/>
      </w:tblPr>
      <w:tblGrid>
        <w:gridCol w:w="4893"/>
        <w:gridCol w:w="4989"/>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93" w:type="dxa"/>
          </w:tcPr>
          <w:p w:rsidR="00DB4DEE" w:rsidRPr="00376CD5" w:rsidRDefault="00DB4DEE" w:rsidP="00545DCB">
            <w:pPr>
              <w:rPr>
                <w:rFonts w:eastAsia="Calibri" w:cs="Times New Roman"/>
                <w:b w:val="0"/>
              </w:rPr>
            </w:pPr>
          </w:p>
        </w:tc>
        <w:tc>
          <w:tcPr>
            <w:tcW w:w="4989"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893" w:type="dxa"/>
          </w:tcPr>
          <w:p w:rsidR="00DB4DEE" w:rsidRPr="00376CD5" w:rsidRDefault="00DB4DEE" w:rsidP="00545DCB">
            <w:pPr>
              <w:rPr>
                <w:rFonts w:eastAsia="Calibri" w:cs="Times New Roman"/>
                <w:b w:val="0"/>
              </w:rPr>
            </w:pPr>
            <w:r w:rsidRPr="00376CD5">
              <w:rPr>
                <w:rFonts w:eastAsia="Calibri" w:cs="Times New Roman"/>
                <w:b w:val="0"/>
              </w:rPr>
              <w:t>Construction</w:t>
            </w:r>
          </w:p>
        </w:tc>
        <w:tc>
          <w:tcPr>
            <w:tcW w:w="4989"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10.1%(21)</w:t>
            </w:r>
          </w:p>
        </w:tc>
      </w:tr>
      <w:tr w:rsidR="00DB4DEE" w:rsidRPr="00376CD5" w:rsidTr="00545DCB">
        <w:trPr>
          <w:trHeight w:val="317"/>
        </w:trPr>
        <w:tc>
          <w:tcPr>
            <w:cnfStyle w:val="001000000000" w:firstRow="0" w:lastRow="0" w:firstColumn="1" w:lastColumn="0" w:oddVBand="0" w:evenVBand="0" w:oddHBand="0" w:evenHBand="0" w:firstRowFirstColumn="0" w:firstRowLastColumn="0" w:lastRowFirstColumn="0" w:lastRowLastColumn="0"/>
            <w:tcW w:w="4893" w:type="dxa"/>
          </w:tcPr>
          <w:p w:rsidR="00DB4DEE" w:rsidRPr="00376CD5" w:rsidRDefault="00DB4DEE" w:rsidP="00545DCB">
            <w:pPr>
              <w:rPr>
                <w:rFonts w:eastAsia="Calibri" w:cs="Times New Roman"/>
                <w:b w:val="0"/>
              </w:rPr>
            </w:pPr>
            <w:r w:rsidRPr="00376CD5">
              <w:rPr>
                <w:rFonts w:eastAsia="Calibri" w:cs="Times New Roman"/>
                <w:b w:val="0"/>
              </w:rPr>
              <w:t>Manufacturing</w:t>
            </w:r>
          </w:p>
        </w:tc>
        <w:tc>
          <w:tcPr>
            <w:tcW w:w="4989"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4.3%(9)</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93" w:type="dxa"/>
          </w:tcPr>
          <w:p w:rsidR="00DB4DEE" w:rsidRPr="00376CD5" w:rsidRDefault="00DB4DEE" w:rsidP="00545DCB">
            <w:pPr>
              <w:rPr>
                <w:rFonts w:eastAsia="Calibri" w:cs="Times New Roman"/>
                <w:b w:val="0"/>
              </w:rPr>
            </w:pPr>
            <w:r w:rsidRPr="00376CD5">
              <w:rPr>
                <w:rFonts w:eastAsia="Calibri" w:cs="Times New Roman"/>
                <w:b w:val="0"/>
              </w:rPr>
              <w:t>Wholesale trade</w:t>
            </w:r>
          </w:p>
        </w:tc>
        <w:tc>
          <w:tcPr>
            <w:tcW w:w="4989"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1.9%(4)</w:t>
            </w:r>
          </w:p>
        </w:tc>
      </w:tr>
      <w:tr w:rsidR="00DB4DEE" w:rsidRPr="00376CD5" w:rsidTr="00545DCB">
        <w:trPr>
          <w:trHeight w:val="317"/>
        </w:trPr>
        <w:tc>
          <w:tcPr>
            <w:cnfStyle w:val="001000000000" w:firstRow="0" w:lastRow="0" w:firstColumn="1" w:lastColumn="0" w:oddVBand="0" w:evenVBand="0" w:oddHBand="0" w:evenHBand="0" w:firstRowFirstColumn="0" w:firstRowLastColumn="0" w:lastRowFirstColumn="0" w:lastRowLastColumn="0"/>
            <w:tcW w:w="4893" w:type="dxa"/>
          </w:tcPr>
          <w:p w:rsidR="00DB4DEE" w:rsidRPr="00376CD5" w:rsidRDefault="00DB4DEE" w:rsidP="00545DCB">
            <w:pPr>
              <w:rPr>
                <w:rFonts w:eastAsia="Calibri" w:cs="Times New Roman"/>
                <w:b w:val="0"/>
              </w:rPr>
            </w:pPr>
            <w:r w:rsidRPr="00376CD5">
              <w:rPr>
                <w:rFonts w:eastAsia="Calibri" w:cs="Times New Roman"/>
                <w:b w:val="0"/>
              </w:rPr>
              <w:t>Retail trade</w:t>
            </w:r>
          </w:p>
        </w:tc>
        <w:tc>
          <w:tcPr>
            <w:tcW w:w="4989"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16.9%(35)</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93" w:type="dxa"/>
          </w:tcPr>
          <w:p w:rsidR="00DB4DEE" w:rsidRPr="00376CD5" w:rsidRDefault="00DB4DEE" w:rsidP="00545DCB">
            <w:pPr>
              <w:rPr>
                <w:rFonts w:eastAsia="Calibri" w:cs="Times New Roman"/>
                <w:b w:val="0"/>
              </w:rPr>
            </w:pPr>
            <w:r w:rsidRPr="00376CD5">
              <w:rPr>
                <w:rFonts w:eastAsia="Calibri" w:cs="Times New Roman"/>
                <w:b w:val="0"/>
              </w:rPr>
              <w:t>Transportation/warehousing</w:t>
            </w:r>
          </w:p>
        </w:tc>
        <w:tc>
          <w:tcPr>
            <w:tcW w:w="4989"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2.9%(6)</w:t>
            </w:r>
          </w:p>
        </w:tc>
      </w:tr>
      <w:tr w:rsidR="00DB4DEE" w:rsidRPr="00376CD5" w:rsidTr="00545DCB">
        <w:trPr>
          <w:trHeight w:val="317"/>
        </w:trPr>
        <w:tc>
          <w:tcPr>
            <w:cnfStyle w:val="001000000000" w:firstRow="0" w:lastRow="0" w:firstColumn="1" w:lastColumn="0" w:oddVBand="0" w:evenVBand="0" w:oddHBand="0" w:evenHBand="0" w:firstRowFirstColumn="0" w:firstRowLastColumn="0" w:lastRowFirstColumn="0" w:lastRowLastColumn="0"/>
            <w:tcW w:w="4893" w:type="dxa"/>
          </w:tcPr>
          <w:p w:rsidR="00DB4DEE" w:rsidRPr="00376CD5" w:rsidRDefault="00DB4DEE" w:rsidP="00545DCB">
            <w:pPr>
              <w:rPr>
                <w:rFonts w:eastAsia="Calibri" w:cs="Times New Roman"/>
                <w:b w:val="0"/>
              </w:rPr>
            </w:pPr>
            <w:r w:rsidRPr="00376CD5">
              <w:rPr>
                <w:rFonts w:eastAsia="Calibri" w:cs="Times New Roman"/>
                <w:b w:val="0"/>
              </w:rPr>
              <w:t>Finance/insurance/real estate</w:t>
            </w:r>
          </w:p>
        </w:tc>
        <w:tc>
          <w:tcPr>
            <w:tcW w:w="4989"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9.7%(20)</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93" w:type="dxa"/>
          </w:tcPr>
          <w:p w:rsidR="00DB4DEE" w:rsidRPr="00376CD5" w:rsidRDefault="00DB4DEE" w:rsidP="00545DCB">
            <w:pPr>
              <w:rPr>
                <w:rFonts w:eastAsia="Calibri" w:cs="Times New Roman"/>
                <w:b w:val="0"/>
              </w:rPr>
            </w:pPr>
            <w:r w:rsidRPr="00376CD5">
              <w:rPr>
                <w:rFonts w:eastAsia="Calibri" w:cs="Times New Roman"/>
                <w:b w:val="0"/>
              </w:rPr>
              <w:t>Medical/health care</w:t>
            </w:r>
          </w:p>
        </w:tc>
        <w:tc>
          <w:tcPr>
            <w:tcW w:w="4989"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5.8%(12)</w:t>
            </w:r>
          </w:p>
        </w:tc>
      </w:tr>
      <w:tr w:rsidR="00DB4DEE" w:rsidRPr="00376CD5" w:rsidTr="00545DCB">
        <w:trPr>
          <w:trHeight w:val="317"/>
        </w:trPr>
        <w:tc>
          <w:tcPr>
            <w:cnfStyle w:val="001000000000" w:firstRow="0" w:lastRow="0" w:firstColumn="1" w:lastColumn="0" w:oddVBand="0" w:evenVBand="0" w:oddHBand="0" w:evenHBand="0" w:firstRowFirstColumn="0" w:firstRowLastColumn="0" w:lastRowFirstColumn="0" w:lastRowLastColumn="0"/>
            <w:tcW w:w="4893" w:type="dxa"/>
          </w:tcPr>
          <w:p w:rsidR="00DB4DEE" w:rsidRPr="00376CD5" w:rsidRDefault="00DB4DEE" w:rsidP="00545DCB">
            <w:pPr>
              <w:rPr>
                <w:rFonts w:eastAsia="Calibri" w:cs="Times New Roman"/>
                <w:b w:val="0"/>
              </w:rPr>
            </w:pPr>
            <w:r w:rsidRPr="00376CD5">
              <w:rPr>
                <w:rFonts w:eastAsia="Calibri" w:cs="Times New Roman"/>
                <w:b w:val="0"/>
              </w:rPr>
              <w:t>Education/educational services</w:t>
            </w:r>
          </w:p>
        </w:tc>
        <w:tc>
          <w:tcPr>
            <w:tcW w:w="4989"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6.3%(13)</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93" w:type="dxa"/>
          </w:tcPr>
          <w:p w:rsidR="00DB4DEE" w:rsidRPr="00376CD5" w:rsidRDefault="00DB4DEE" w:rsidP="00545DCB">
            <w:pPr>
              <w:rPr>
                <w:rFonts w:eastAsia="Calibri" w:cs="Times New Roman"/>
                <w:b w:val="0"/>
              </w:rPr>
            </w:pPr>
            <w:r w:rsidRPr="00376CD5">
              <w:rPr>
                <w:rFonts w:eastAsia="Calibri" w:cs="Times New Roman"/>
                <w:b w:val="0"/>
              </w:rPr>
              <w:t>Accommodations/food/entertainment/recreation</w:t>
            </w:r>
          </w:p>
        </w:tc>
        <w:tc>
          <w:tcPr>
            <w:tcW w:w="4989"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8.7%(18)</w:t>
            </w:r>
          </w:p>
        </w:tc>
      </w:tr>
      <w:tr w:rsidR="00DB4DEE" w:rsidRPr="00376CD5" w:rsidTr="00545DCB">
        <w:trPr>
          <w:trHeight w:val="317"/>
        </w:trPr>
        <w:tc>
          <w:tcPr>
            <w:cnfStyle w:val="001000000000" w:firstRow="0" w:lastRow="0" w:firstColumn="1" w:lastColumn="0" w:oddVBand="0" w:evenVBand="0" w:oddHBand="0" w:evenHBand="0" w:firstRowFirstColumn="0" w:firstRowLastColumn="0" w:lastRowFirstColumn="0" w:lastRowLastColumn="0"/>
            <w:tcW w:w="4893" w:type="dxa"/>
          </w:tcPr>
          <w:p w:rsidR="00DB4DEE" w:rsidRPr="00376CD5" w:rsidRDefault="00DB4DEE" w:rsidP="00545DCB">
            <w:pPr>
              <w:rPr>
                <w:rFonts w:eastAsia="Calibri" w:cs="Times New Roman"/>
                <w:b w:val="0"/>
              </w:rPr>
            </w:pPr>
            <w:r w:rsidRPr="00376CD5">
              <w:rPr>
                <w:rFonts w:eastAsia="Calibri" w:cs="Times New Roman"/>
                <w:b w:val="0"/>
              </w:rPr>
              <w:t>Information and communication systems</w:t>
            </w:r>
          </w:p>
        </w:tc>
        <w:tc>
          <w:tcPr>
            <w:tcW w:w="4989"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2.4%(5)</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93" w:type="dxa"/>
          </w:tcPr>
          <w:p w:rsidR="00DB4DEE" w:rsidRPr="00376CD5" w:rsidRDefault="00DB4DEE" w:rsidP="00545DCB">
            <w:pPr>
              <w:rPr>
                <w:rFonts w:eastAsia="Calibri" w:cs="Times New Roman"/>
                <w:b w:val="0"/>
              </w:rPr>
            </w:pPr>
            <w:r w:rsidRPr="00376CD5">
              <w:rPr>
                <w:rFonts w:eastAsia="Calibri" w:cs="Times New Roman"/>
                <w:b w:val="0"/>
              </w:rPr>
              <w:t>Business and professional support services</w:t>
            </w:r>
          </w:p>
        </w:tc>
        <w:tc>
          <w:tcPr>
            <w:tcW w:w="4989"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12.6%(26)</w:t>
            </w:r>
          </w:p>
        </w:tc>
      </w:tr>
      <w:tr w:rsidR="00DB4DEE" w:rsidRPr="00376CD5" w:rsidTr="00545DCB">
        <w:trPr>
          <w:trHeight w:val="317"/>
        </w:trPr>
        <w:tc>
          <w:tcPr>
            <w:cnfStyle w:val="001000000000" w:firstRow="0" w:lastRow="0" w:firstColumn="1" w:lastColumn="0" w:oddVBand="0" w:evenVBand="0" w:oddHBand="0" w:evenHBand="0" w:firstRowFirstColumn="0" w:firstRowLastColumn="0" w:lastRowFirstColumn="0" w:lastRowLastColumn="0"/>
            <w:tcW w:w="4893" w:type="dxa"/>
          </w:tcPr>
          <w:p w:rsidR="00DB4DEE" w:rsidRPr="00376CD5" w:rsidRDefault="00DB4DEE" w:rsidP="00545DCB">
            <w:pPr>
              <w:rPr>
                <w:rFonts w:eastAsia="Calibri" w:cs="Times New Roman"/>
                <w:b w:val="0"/>
              </w:rPr>
            </w:pPr>
            <w:r w:rsidRPr="00376CD5">
              <w:rPr>
                <w:rFonts w:eastAsia="Calibri" w:cs="Times New Roman"/>
                <w:b w:val="0"/>
              </w:rPr>
              <w:t>Personal services</w:t>
            </w:r>
          </w:p>
        </w:tc>
        <w:tc>
          <w:tcPr>
            <w:tcW w:w="4989"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8.2%(17)</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93" w:type="dxa"/>
          </w:tcPr>
          <w:p w:rsidR="00DB4DEE" w:rsidRPr="00376CD5" w:rsidRDefault="00DB4DEE" w:rsidP="00545DCB">
            <w:pPr>
              <w:rPr>
                <w:rFonts w:eastAsia="Calibri" w:cs="Times New Roman"/>
                <w:b w:val="0"/>
              </w:rPr>
            </w:pPr>
            <w:r w:rsidRPr="00376CD5">
              <w:rPr>
                <w:rFonts w:eastAsia="Calibri" w:cs="Times New Roman"/>
                <w:b w:val="0"/>
              </w:rPr>
              <w:t>Natural resources and mining</w:t>
            </w:r>
          </w:p>
        </w:tc>
        <w:tc>
          <w:tcPr>
            <w:tcW w:w="4989"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.5%(1)</w:t>
            </w:r>
          </w:p>
        </w:tc>
      </w:tr>
      <w:tr w:rsidR="00DB4DEE" w:rsidRPr="00376CD5" w:rsidTr="00545DCB">
        <w:trPr>
          <w:trHeight w:val="317"/>
        </w:trPr>
        <w:tc>
          <w:tcPr>
            <w:cnfStyle w:val="001000000000" w:firstRow="0" w:lastRow="0" w:firstColumn="1" w:lastColumn="0" w:oddVBand="0" w:evenVBand="0" w:oddHBand="0" w:evenHBand="0" w:firstRowFirstColumn="0" w:firstRowLastColumn="0" w:lastRowFirstColumn="0" w:lastRowLastColumn="0"/>
            <w:tcW w:w="4893" w:type="dxa"/>
          </w:tcPr>
          <w:p w:rsidR="00DB4DEE" w:rsidRPr="00376CD5" w:rsidRDefault="00DB4DEE" w:rsidP="00545DCB">
            <w:pPr>
              <w:rPr>
                <w:rFonts w:eastAsia="Calibri" w:cs="Times New Roman"/>
                <w:b w:val="0"/>
              </w:rPr>
            </w:pPr>
            <w:r w:rsidRPr="00376CD5">
              <w:rPr>
                <w:rFonts w:eastAsia="Calibri" w:cs="Times New Roman"/>
                <w:b w:val="0"/>
              </w:rPr>
              <w:t>Public administration</w:t>
            </w:r>
          </w:p>
        </w:tc>
        <w:tc>
          <w:tcPr>
            <w:tcW w:w="4989"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9.7%(20)</w:t>
            </w:r>
          </w:p>
        </w:tc>
      </w:tr>
    </w:tbl>
    <w:p w:rsidR="00DB4DEE" w:rsidRPr="00376CD5" w:rsidRDefault="00DB4DEE" w:rsidP="00DB4DEE">
      <w:pPr>
        <w:spacing w:after="0" w:line="240" w:lineRule="auto"/>
        <w:rPr>
          <w:rFonts w:eastAsia="Calibri" w:cs="Times New Roman"/>
          <w:i/>
        </w:rPr>
      </w:pPr>
    </w:p>
    <w:p w:rsidR="00DB4DEE" w:rsidRPr="00376CD5" w:rsidRDefault="00DB4DEE" w:rsidP="00DB4DEE">
      <w:pPr>
        <w:spacing w:after="0" w:line="240" w:lineRule="auto"/>
        <w:rPr>
          <w:rFonts w:eastAsia="Calibri" w:cs="Times New Roman"/>
          <w:i/>
        </w:rPr>
      </w:pPr>
    </w:p>
    <w:p w:rsidR="00DB4DEE" w:rsidRPr="00376CD5" w:rsidRDefault="00DB4DEE" w:rsidP="00DB4DEE">
      <w:pPr>
        <w:rPr>
          <w:rFonts w:eastAsia="Calibri" w:cs="Times New Roman"/>
        </w:rPr>
      </w:pPr>
      <w:r w:rsidRPr="00376CD5">
        <w:rPr>
          <w:rFonts w:eastAsia="Calibri" w:cs="Times New Roman"/>
        </w:rPr>
        <w:br w:type="page"/>
      </w:r>
    </w:p>
    <w:p w:rsidR="00DB4DEE" w:rsidRPr="00376CD5" w:rsidRDefault="00DB4DEE" w:rsidP="00DB4DEE">
      <w:pPr>
        <w:spacing w:after="0" w:line="240" w:lineRule="auto"/>
        <w:rPr>
          <w:rFonts w:eastAsia="Calibri" w:cs="Times New Roman"/>
          <w:u w:val="single"/>
        </w:rPr>
      </w:pPr>
      <w:r w:rsidRPr="00376CD5">
        <w:rPr>
          <w:rFonts w:eastAsia="Calibri" w:cs="Times New Roman"/>
          <w:u w:val="single"/>
        </w:rPr>
        <w:lastRenderedPageBreak/>
        <w:t xml:space="preserve">Section 3: Expectations for Your Business/Firm/Organization Sangamon County </w:t>
      </w:r>
    </w:p>
    <w:p w:rsidR="00DB4DEE" w:rsidRPr="00376CD5" w:rsidRDefault="00DB4DEE" w:rsidP="00DB4DEE">
      <w:pPr>
        <w:spacing w:after="0" w:line="240" w:lineRule="auto"/>
        <w:rPr>
          <w:rFonts w:eastAsia="Calibri" w:cs="Times New Roman"/>
        </w:rPr>
      </w:pPr>
      <w:r w:rsidRPr="00376CD5">
        <w:rPr>
          <w:rFonts w:eastAsia="Calibri" w:cs="Times New Roman"/>
        </w:rPr>
        <w:t xml:space="preserve">Over the next 12 months, what are your expectations for </w:t>
      </w:r>
      <w:r w:rsidRPr="00376CD5">
        <w:rPr>
          <w:rFonts w:eastAsia="Calibri" w:cs="Times New Roman"/>
          <w:u w:val="single"/>
        </w:rPr>
        <w:t>your business/firm/ organization</w:t>
      </w:r>
      <w:r w:rsidRPr="00376CD5">
        <w:rPr>
          <w:rFonts w:eastAsia="Calibri" w:cs="Times New Roman"/>
        </w:rPr>
        <w:t xml:space="preserve"> in Sangamon County? Do you think each aspect of the local economy will see a large decline, small decline, stay the same, small increase, or large increase?</w:t>
      </w:r>
    </w:p>
    <w:p w:rsidR="00DB4DEE" w:rsidRPr="00376CD5" w:rsidRDefault="00DB4DEE" w:rsidP="00DB4DEE">
      <w:pPr>
        <w:spacing w:after="0" w:line="240" w:lineRule="auto"/>
        <w:rPr>
          <w:i/>
        </w:rPr>
      </w:pPr>
    </w:p>
    <w:p w:rsidR="00DB4DEE" w:rsidRPr="00376CD5" w:rsidRDefault="00DB4DEE" w:rsidP="00DB4DEE">
      <w:pPr>
        <w:spacing w:after="0" w:line="240" w:lineRule="auto"/>
        <w:rPr>
          <w:rFonts w:eastAsia="Calibri" w:cs="Times New Roman"/>
        </w:rPr>
      </w:pPr>
      <w:r w:rsidRPr="00376CD5">
        <w:rPr>
          <w:color w:val="000000"/>
        </w:rPr>
        <w:t xml:space="preserve">Capital investment in firm </w:t>
      </w:r>
      <w:r w:rsidRPr="00376CD5">
        <w:rPr>
          <w:rFonts w:eastAsia="Calibri" w:cs="Times New Roman"/>
        </w:rPr>
        <w:t>(Intensity index score: +8.0)</w:t>
      </w:r>
    </w:p>
    <w:tbl>
      <w:tblPr>
        <w:tblStyle w:val="LightShading1"/>
        <w:tblW w:w="9972" w:type="dxa"/>
        <w:tblInd w:w="108" w:type="dxa"/>
        <w:tblLook w:val="04A0" w:firstRow="1" w:lastRow="0" w:firstColumn="1" w:lastColumn="0" w:noHBand="0" w:noVBand="1"/>
      </w:tblPr>
      <w:tblGrid>
        <w:gridCol w:w="5042"/>
        <w:gridCol w:w="4930"/>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042" w:type="dxa"/>
          </w:tcPr>
          <w:p w:rsidR="00DB4DEE" w:rsidRPr="00376CD5" w:rsidRDefault="00DB4DEE" w:rsidP="00545DCB">
            <w:pPr>
              <w:rPr>
                <w:rFonts w:eastAsia="Calibri" w:cs="Times New Roman"/>
                <w:b w:val="0"/>
              </w:rPr>
            </w:pPr>
          </w:p>
        </w:tc>
        <w:tc>
          <w:tcPr>
            <w:tcW w:w="4930"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5042" w:type="dxa"/>
          </w:tcPr>
          <w:p w:rsidR="00DB4DEE" w:rsidRPr="00376CD5" w:rsidRDefault="00DB4DEE" w:rsidP="00545DCB">
            <w:pPr>
              <w:rPr>
                <w:rFonts w:eastAsia="Calibri" w:cs="Times New Roman"/>
                <w:b w:val="0"/>
              </w:rPr>
            </w:pPr>
            <w:r w:rsidRPr="00376CD5">
              <w:rPr>
                <w:rFonts w:eastAsia="Calibri" w:cs="Times New Roman"/>
                <w:b w:val="0"/>
              </w:rPr>
              <w:t>Large decline</w:t>
            </w:r>
          </w:p>
        </w:tc>
        <w:tc>
          <w:tcPr>
            <w:tcW w:w="493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2.5%(5)</w:t>
            </w:r>
          </w:p>
        </w:tc>
      </w:tr>
      <w:tr w:rsidR="00DB4DEE" w:rsidRPr="00376CD5" w:rsidTr="00545DCB">
        <w:trPr>
          <w:trHeight w:val="336"/>
        </w:trPr>
        <w:tc>
          <w:tcPr>
            <w:cnfStyle w:val="001000000000" w:firstRow="0" w:lastRow="0" w:firstColumn="1" w:lastColumn="0" w:oddVBand="0" w:evenVBand="0" w:oddHBand="0" w:evenHBand="0" w:firstRowFirstColumn="0" w:firstRowLastColumn="0" w:lastRowFirstColumn="0" w:lastRowLastColumn="0"/>
            <w:tcW w:w="5042" w:type="dxa"/>
          </w:tcPr>
          <w:p w:rsidR="00DB4DEE" w:rsidRPr="00376CD5" w:rsidRDefault="00DB4DEE" w:rsidP="00545DCB">
            <w:pPr>
              <w:rPr>
                <w:rFonts w:eastAsia="Calibri" w:cs="Times New Roman"/>
                <w:b w:val="0"/>
              </w:rPr>
            </w:pPr>
            <w:r w:rsidRPr="00376CD5">
              <w:rPr>
                <w:rFonts w:eastAsia="Calibri" w:cs="Times New Roman"/>
                <w:b w:val="0"/>
              </w:rPr>
              <w:t>Small decline</w:t>
            </w:r>
          </w:p>
        </w:tc>
        <w:tc>
          <w:tcPr>
            <w:tcW w:w="4930"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13.0%(26)</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042" w:type="dxa"/>
          </w:tcPr>
          <w:p w:rsidR="00DB4DEE" w:rsidRPr="00376CD5" w:rsidRDefault="00DB4DEE" w:rsidP="00545DCB">
            <w:pPr>
              <w:rPr>
                <w:rFonts w:eastAsia="Calibri" w:cs="Times New Roman"/>
                <w:b w:val="0"/>
              </w:rPr>
            </w:pPr>
            <w:r w:rsidRPr="00376CD5">
              <w:rPr>
                <w:rFonts w:eastAsia="Calibri" w:cs="Times New Roman"/>
                <w:b w:val="0"/>
              </w:rPr>
              <w:t>Stay the same</w:t>
            </w:r>
          </w:p>
        </w:tc>
        <w:tc>
          <w:tcPr>
            <w:tcW w:w="493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53.5%(107)</w:t>
            </w:r>
          </w:p>
        </w:tc>
      </w:tr>
      <w:tr w:rsidR="00DB4DEE" w:rsidRPr="00376CD5" w:rsidTr="00545DCB">
        <w:trPr>
          <w:trHeight w:val="336"/>
        </w:trPr>
        <w:tc>
          <w:tcPr>
            <w:cnfStyle w:val="001000000000" w:firstRow="0" w:lastRow="0" w:firstColumn="1" w:lastColumn="0" w:oddVBand="0" w:evenVBand="0" w:oddHBand="0" w:evenHBand="0" w:firstRowFirstColumn="0" w:firstRowLastColumn="0" w:lastRowFirstColumn="0" w:lastRowLastColumn="0"/>
            <w:tcW w:w="5042" w:type="dxa"/>
          </w:tcPr>
          <w:p w:rsidR="00DB4DEE" w:rsidRPr="00376CD5" w:rsidRDefault="00DB4DEE" w:rsidP="00545DCB">
            <w:pPr>
              <w:rPr>
                <w:rFonts w:eastAsia="Calibri" w:cs="Times New Roman"/>
                <w:b w:val="0"/>
              </w:rPr>
            </w:pPr>
            <w:r w:rsidRPr="00376CD5">
              <w:rPr>
                <w:rFonts w:eastAsia="Calibri" w:cs="Times New Roman"/>
                <w:b w:val="0"/>
              </w:rPr>
              <w:t>Small increase</w:t>
            </w:r>
          </w:p>
        </w:tc>
        <w:tc>
          <w:tcPr>
            <w:tcW w:w="4930"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28.0%(56)</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042" w:type="dxa"/>
          </w:tcPr>
          <w:p w:rsidR="00DB4DEE" w:rsidRPr="00376CD5" w:rsidRDefault="00DB4DEE" w:rsidP="00545DCB">
            <w:pPr>
              <w:rPr>
                <w:rFonts w:eastAsia="Calibri" w:cs="Times New Roman"/>
                <w:b w:val="0"/>
              </w:rPr>
            </w:pPr>
            <w:r w:rsidRPr="00376CD5">
              <w:rPr>
                <w:rFonts w:eastAsia="Calibri" w:cs="Times New Roman"/>
                <w:b w:val="0"/>
              </w:rPr>
              <w:t>Large increase</w:t>
            </w:r>
          </w:p>
        </w:tc>
        <w:tc>
          <w:tcPr>
            <w:tcW w:w="493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3.0%(6)</w:t>
            </w:r>
          </w:p>
        </w:tc>
      </w:tr>
    </w:tbl>
    <w:p w:rsidR="00DB4DEE" w:rsidRPr="00376CD5" w:rsidRDefault="00DB4DEE" w:rsidP="00DB4DEE">
      <w:pPr>
        <w:spacing w:after="0" w:line="240" w:lineRule="auto"/>
        <w:rPr>
          <w:i/>
        </w:rPr>
      </w:pPr>
    </w:p>
    <w:p w:rsidR="00DB4DEE" w:rsidRPr="00376CD5" w:rsidRDefault="00DB4DEE" w:rsidP="00DB4DEE">
      <w:pPr>
        <w:spacing w:after="0" w:line="240" w:lineRule="auto"/>
        <w:rPr>
          <w:rFonts w:eastAsia="Calibri" w:cs="Times New Roman"/>
        </w:rPr>
      </w:pPr>
      <w:r w:rsidRPr="00376CD5">
        <w:rPr>
          <w:color w:val="000000"/>
        </w:rPr>
        <w:t xml:space="preserve">Total number of employees </w:t>
      </w:r>
      <w:r w:rsidRPr="00376CD5">
        <w:rPr>
          <w:rFonts w:eastAsia="Calibri" w:cs="Times New Roman"/>
        </w:rPr>
        <w:t>(Intensity index score: +10.5)</w:t>
      </w:r>
    </w:p>
    <w:tbl>
      <w:tblPr>
        <w:tblStyle w:val="LightShading1"/>
        <w:tblW w:w="9972" w:type="dxa"/>
        <w:tblInd w:w="108" w:type="dxa"/>
        <w:tblLook w:val="04A0" w:firstRow="1" w:lastRow="0" w:firstColumn="1" w:lastColumn="0" w:noHBand="0" w:noVBand="1"/>
      </w:tblPr>
      <w:tblGrid>
        <w:gridCol w:w="5057"/>
        <w:gridCol w:w="4915"/>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057" w:type="dxa"/>
          </w:tcPr>
          <w:p w:rsidR="00DB4DEE" w:rsidRPr="00376CD5" w:rsidRDefault="00DB4DEE" w:rsidP="00545DCB">
            <w:pPr>
              <w:rPr>
                <w:rFonts w:eastAsia="Calibri" w:cs="Times New Roman"/>
                <w:b w:val="0"/>
              </w:rPr>
            </w:pPr>
          </w:p>
        </w:tc>
        <w:tc>
          <w:tcPr>
            <w:tcW w:w="4915"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057" w:type="dxa"/>
          </w:tcPr>
          <w:p w:rsidR="00DB4DEE" w:rsidRPr="00376CD5" w:rsidRDefault="00DB4DEE" w:rsidP="00545DCB">
            <w:pPr>
              <w:rPr>
                <w:rFonts w:eastAsia="Calibri" w:cs="Times New Roman"/>
                <w:b w:val="0"/>
              </w:rPr>
            </w:pPr>
            <w:r w:rsidRPr="00376CD5">
              <w:rPr>
                <w:rFonts w:eastAsia="Calibri" w:cs="Times New Roman"/>
                <w:b w:val="0"/>
              </w:rPr>
              <w:t>Large decline</w:t>
            </w:r>
          </w:p>
        </w:tc>
        <w:tc>
          <w:tcPr>
            <w:tcW w:w="491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0.5%(1)</w:t>
            </w:r>
          </w:p>
        </w:tc>
      </w:tr>
      <w:tr w:rsidR="00DB4DEE" w:rsidRPr="00376CD5" w:rsidTr="00545DCB">
        <w:trPr>
          <w:trHeight w:val="319"/>
        </w:trPr>
        <w:tc>
          <w:tcPr>
            <w:cnfStyle w:val="001000000000" w:firstRow="0" w:lastRow="0" w:firstColumn="1" w:lastColumn="0" w:oddVBand="0" w:evenVBand="0" w:oddHBand="0" w:evenHBand="0" w:firstRowFirstColumn="0" w:firstRowLastColumn="0" w:lastRowFirstColumn="0" w:lastRowLastColumn="0"/>
            <w:tcW w:w="5057" w:type="dxa"/>
          </w:tcPr>
          <w:p w:rsidR="00DB4DEE" w:rsidRPr="00376CD5" w:rsidRDefault="00DB4DEE" w:rsidP="00545DCB">
            <w:pPr>
              <w:rPr>
                <w:rFonts w:eastAsia="Calibri" w:cs="Times New Roman"/>
                <w:b w:val="0"/>
              </w:rPr>
            </w:pPr>
            <w:r w:rsidRPr="00376CD5">
              <w:rPr>
                <w:rFonts w:eastAsia="Calibri" w:cs="Times New Roman"/>
                <w:b w:val="0"/>
              </w:rPr>
              <w:t>Small decline</w:t>
            </w:r>
          </w:p>
        </w:tc>
        <w:tc>
          <w:tcPr>
            <w:tcW w:w="491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12.7%(26)</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057" w:type="dxa"/>
          </w:tcPr>
          <w:p w:rsidR="00DB4DEE" w:rsidRPr="00376CD5" w:rsidRDefault="00DB4DEE" w:rsidP="00545DCB">
            <w:pPr>
              <w:rPr>
                <w:rFonts w:eastAsia="Calibri" w:cs="Times New Roman"/>
                <w:b w:val="0"/>
              </w:rPr>
            </w:pPr>
            <w:r w:rsidRPr="00376CD5">
              <w:rPr>
                <w:rFonts w:eastAsia="Calibri" w:cs="Times New Roman"/>
                <w:b w:val="0"/>
              </w:rPr>
              <w:t>Stay the same</w:t>
            </w:r>
          </w:p>
        </w:tc>
        <w:tc>
          <w:tcPr>
            <w:tcW w:w="491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53.9%(110)</w:t>
            </w:r>
          </w:p>
        </w:tc>
      </w:tr>
      <w:tr w:rsidR="00DB4DEE" w:rsidRPr="00376CD5" w:rsidTr="00545DCB">
        <w:trPr>
          <w:trHeight w:val="319"/>
        </w:trPr>
        <w:tc>
          <w:tcPr>
            <w:cnfStyle w:val="001000000000" w:firstRow="0" w:lastRow="0" w:firstColumn="1" w:lastColumn="0" w:oddVBand="0" w:evenVBand="0" w:oddHBand="0" w:evenHBand="0" w:firstRowFirstColumn="0" w:firstRowLastColumn="0" w:lastRowFirstColumn="0" w:lastRowLastColumn="0"/>
            <w:tcW w:w="5057" w:type="dxa"/>
          </w:tcPr>
          <w:p w:rsidR="00DB4DEE" w:rsidRPr="00376CD5" w:rsidRDefault="00DB4DEE" w:rsidP="00545DCB">
            <w:pPr>
              <w:rPr>
                <w:rFonts w:eastAsia="Calibri" w:cs="Times New Roman"/>
                <w:b w:val="0"/>
              </w:rPr>
            </w:pPr>
            <w:r w:rsidRPr="00376CD5">
              <w:rPr>
                <w:rFonts w:eastAsia="Calibri" w:cs="Times New Roman"/>
                <w:b w:val="0"/>
              </w:rPr>
              <w:t>Small increase</w:t>
            </w:r>
          </w:p>
        </w:tc>
        <w:tc>
          <w:tcPr>
            <w:tcW w:w="491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30.9%(63)</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057" w:type="dxa"/>
          </w:tcPr>
          <w:p w:rsidR="00DB4DEE" w:rsidRPr="00376CD5" w:rsidRDefault="00DB4DEE" w:rsidP="00545DCB">
            <w:pPr>
              <w:rPr>
                <w:rFonts w:eastAsia="Calibri" w:cs="Times New Roman"/>
                <w:b w:val="0"/>
              </w:rPr>
            </w:pPr>
            <w:r w:rsidRPr="00376CD5">
              <w:rPr>
                <w:rFonts w:eastAsia="Calibri" w:cs="Times New Roman"/>
                <w:b w:val="0"/>
              </w:rPr>
              <w:t>Large increase</w:t>
            </w:r>
          </w:p>
        </w:tc>
        <w:tc>
          <w:tcPr>
            <w:tcW w:w="491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2.0%(4)</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rFonts w:eastAsia="Calibri" w:cs="Times New Roman"/>
        </w:rPr>
      </w:pPr>
      <w:r w:rsidRPr="00376CD5">
        <w:rPr>
          <w:color w:val="000000"/>
        </w:rPr>
        <w:t xml:space="preserve">Gross revenue/sales </w:t>
      </w:r>
      <w:r w:rsidRPr="00376CD5">
        <w:rPr>
          <w:rFonts w:eastAsia="Calibri" w:cs="Times New Roman"/>
        </w:rPr>
        <w:t>(Intensity index score: +13.9)</w:t>
      </w:r>
    </w:p>
    <w:tbl>
      <w:tblPr>
        <w:tblStyle w:val="LightShading1"/>
        <w:tblW w:w="9972" w:type="dxa"/>
        <w:tblInd w:w="108" w:type="dxa"/>
        <w:tblLook w:val="04A0" w:firstRow="1" w:lastRow="0" w:firstColumn="1" w:lastColumn="0" w:noHBand="0" w:noVBand="1"/>
      </w:tblPr>
      <w:tblGrid>
        <w:gridCol w:w="5035"/>
        <w:gridCol w:w="4937"/>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035" w:type="dxa"/>
          </w:tcPr>
          <w:p w:rsidR="00DB4DEE" w:rsidRPr="00376CD5" w:rsidRDefault="00DB4DEE" w:rsidP="00545DCB">
            <w:pPr>
              <w:rPr>
                <w:rFonts w:eastAsia="Calibri" w:cs="Times New Roman"/>
                <w:b w:val="0"/>
              </w:rPr>
            </w:pPr>
          </w:p>
        </w:tc>
        <w:tc>
          <w:tcPr>
            <w:tcW w:w="4937"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35" w:type="dxa"/>
          </w:tcPr>
          <w:p w:rsidR="00DB4DEE" w:rsidRPr="00376CD5" w:rsidRDefault="00DB4DEE" w:rsidP="00545DCB">
            <w:pPr>
              <w:rPr>
                <w:rFonts w:eastAsia="Calibri" w:cs="Times New Roman"/>
                <w:b w:val="0"/>
              </w:rPr>
            </w:pPr>
            <w:r w:rsidRPr="00376CD5">
              <w:rPr>
                <w:rFonts w:eastAsia="Calibri" w:cs="Times New Roman"/>
                <w:b w:val="0"/>
              </w:rPr>
              <w:t>Large decline</w:t>
            </w:r>
          </w:p>
        </w:tc>
        <w:tc>
          <w:tcPr>
            <w:tcW w:w="4937"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2.5%(5)</w:t>
            </w:r>
          </w:p>
        </w:tc>
      </w:tr>
      <w:tr w:rsidR="00DB4DEE" w:rsidRPr="00376CD5" w:rsidTr="00545DCB">
        <w:trPr>
          <w:trHeight w:val="339"/>
        </w:trPr>
        <w:tc>
          <w:tcPr>
            <w:cnfStyle w:val="001000000000" w:firstRow="0" w:lastRow="0" w:firstColumn="1" w:lastColumn="0" w:oddVBand="0" w:evenVBand="0" w:oddHBand="0" w:evenHBand="0" w:firstRowFirstColumn="0" w:firstRowLastColumn="0" w:lastRowFirstColumn="0" w:lastRowLastColumn="0"/>
            <w:tcW w:w="5035" w:type="dxa"/>
          </w:tcPr>
          <w:p w:rsidR="00DB4DEE" w:rsidRPr="00376CD5" w:rsidRDefault="00DB4DEE" w:rsidP="00545DCB">
            <w:pPr>
              <w:rPr>
                <w:rFonts w:eastAsia="Calibri" w:cs="Times New Roman"/>
                <w:b w:val="0"/>
              </w:rPr>
            </w:pPr>
            <w:r w:rsidRPr="00376CD5">
              <w:rPr>
                <w:rFonts w:eastAsia="Calibri" w:cs="Times New Roman"/>
                <w:b w:val="0"/>
              </w:rPr>
              <w:t>Small decline</w:t>
            </w:r>
          </w:p>
        </w:tc>
        <w:tc>
          <w:tcPr>
            <w:tcW w:w="4937"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16.7%(33)</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035" w:type="dxa"/>
          </w:tcPr>
          <w:p w:rsidR="00DB4DEE" w:rsidRPr="00376CD5" w:rsidRDefault="00DB4DEE" w:rsidP="00545DCB">
            <w:pPr>
              <w:rPr>
                <w:rFonts w:eastAsia="Calibri" w:cs="Times New Roman"/>
                <w:b w:val="0"/>
              </w:rPr>
            </w:pPr>
            <w:r w:rsidRPr="00376CD5">
              <w:rPr>
                <w:rFonts w:eastAsia="Calibri" w:cs="Times New Roman"/>
                <w:b w:val="0"/>
              </w:rPr>
              <w:t>Stay the same</w:t>
            </w:r>
          </w:p>
        </w:tc>
        <w:tc>
          <w:tcPr>
            <w:tcW w:w="4937"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35.9%(71)</w:t>
            </w:r>
          </w:p>
        </w:tc>
      </w:tr>
      <w:tr w:rsidR="00DB4DEE" w:rsidRPr="00376CD5" w:rsidTr="00545DCB">
        <w:trPr>
          <w:trHeight w:val="339"/>
        </w:trPr>
        <w:tc>
          <w:tcPr>
            <w:cnfStyle w:val="001000000000" w:firstRow="0" w:lastRow="0" w:firstColumn="1" w:lastColumn="0" w:oddVBand="0" w:evenVBand="0" w:oddHBand="0" w:evenHBand="0" w:firstRowFirstColumn="0" w:firstRowLastColumn="0" w:lastRowFirstColumn="0" w:lastRowLastColumn="0"/>
            <w:tcW w:w="5035" w:type="dxa"/>
          </w:tcPr>
          <w:p w:rsidR="00DB4DEE" w:rsidRPr="00376CD5" w:rsidRDefault="00DB4DEE" w:rsidP="00545DCB">
            <w:pPr>
              <w:rPr>
                <w:rFonts w:eastAsia="Calibri" w:cs="Times New Roman"/>
                <w:b w:val="0"/>
              </w:rPr>
            </w:pPr>
            <w:r w:rsidRPr="00376CD5">
              <w:rPr>
                <w:rFonts w:eastAsia="Calibri" w:cs="Times New Roman"/>
                <w:b w:val="0"/>
              </w:rPr>
              <w:t>Small increase</w:t>
            </w:r>
          </w:p>
        </w:tc>
        <w:tc>
          <w:tcPr>
            <w:tcW w:w="4937"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40.4%(80)</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035" w:type="dxa"/>
          </w:tcPr>
          <w:p w:rsidR="00DB4DEE" w:rsidRPr="00376CD5" w:rsidRDefault="00DB4DEE" w:rsidP="00545DCB">
            <w:pPr>
              <w:rPr>
                <w:rFonts w:eastAsia="Calibri" w:cs="Times New Roman"/>
                <w:b w:val="0"/>
              </w:rPr>
            </w:pPr>
            <w:r w:rsidRPr="00376CD5">
              <w:rPr>
                <w:rFonts w:eastAsia="Calibri" w:cs="Times New Roman"/>
                <w:b w:val="0"/>
              </w:rPr>
              <w:t>Large increase</w:t>
            </w:r>
          </w:p>
        </w:tc>
        <w:tc>
          <w:tcPr>
            <w:tcW w:w="4937"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4.5%(9)</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rFonts w:eastAsia="Calibri" w:cs="Times New Roman"/>
        </w:rPr>
      </w:pPr>
      <w:r w:rsidRPr="00376CD5">
        <w:rPr>
          <w:color w:val="000000"/>
        </w:rPr>
        <w:t xml:space="preserve">Profitability </w:t>
      </w:r>
      <w:r w:rsidRPr="00376CD5">
        <w:rPr>
          <w:rFonts w:eastAsia="Calibri" w:cs="Times New Roman"/>
        </w:rPr>
        <w:t>(Intensity index score: +9.3)</w:t>
      </w:r>
    </w:p>
    <w:tbl>
      <w:tblPr>
        <w:tblStyle w:val="LightShading1"/>
        <w:tblW w:w="9972" w:type="dxa"/>
        <w:tblInd w:w="108" w:type="dxa"/>
        <w:tblLook w:val="04A0" w:firstRow="1" w:lastRow="0" w:firstColumn="1" w:lastColumn="0" w:noHBand="0" w:noVBand="1"/>
      </w:tblPr>
      <w:tblGrid>
        <w:gridCol w:w="5035"/>
        <w:gridCol w:w="4937"/>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35" w:type="dxa"/>
          </w:tcPr>
          <w:p w:rsidR="00DB4DEE" w:rsidRPr="00376CD5" w:rsidRDefault="00DB4DEE" w:rsidP="00545DCB">
            <w:pPr>
              <w:rPr>
                <w:rFonts w:eastAsia="Calibri" w:cs="Times New Roman"/>
                <w:b w:val="0"/>
              </w:rPr>
            </w:pPr>
          </w:p>
        </w:tc>
        <w:tc>
          <w:tcPr>
            <w:tcW w:w="4937"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35" w:type="dxa"/>
          </w:tcPr>
          <w:p w:rsidR="00DB4DEE" w:rsidRPr="00376CD5" w:rsidRDefault="00DB4DEE" w:rsidP="00545DCB">
            <w:pPr>
              <w:rPr>
                <w:rFonts w:eastAsia="Calibri" w:cs="Times New Roman"/>
                <w:b w:val="0"/>
              </w:rPr>
            </w:pPr>
            <w:r w:rsidRPr="00376CD5">
              <w:rPr>
                <w:rFonts w:eastAsia="Calibri" w:cs="Times New Roman"/>
                <w:b w:val="0"/>
              </w:rPr>
              <w:t>Large decline</w:t>
            </w:r>
          </w:p>
        </w:tc>
        <w:tc>
          <w:tcPr>
            <w:tcW w:w="4937"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1.6%(3)</w:t>
            </w:r>
          </w:p>
        </w:tc>
      </w:tr>
      <w:tr w:rsidR="00DB4DEE" w:rsidRPr="00376CD5" w:rsidTr="00545DCB">
        <w:trPr>
          <w:trHeight w:val="330"/>
        </w:trPr>
        <w:tc>
          <w:tcPr>
            <w:cnfStyle w:val="001000000000" w:firstRow="0" w:lastRow="0" w:firstColumn="1" w:lastColumn="0" w:oddVBand="0" w:evenVBand="0" w:oddHBand="0" w:evenHBand="0" w:firstRowFirstColumn="0" w:firstRowLastColumn="0" w:lastRowFirstColumn="0" w:lastRowLastColumn="0"/>
            <w:tcW w:w="5035" w:type="dxa"/>
          </w:tcPr>
          <w:p w:rsidR="00DB4DEE" w:rsidRPr="00376CD5" w:rsidRDefault="00DB4DEE" w:rsidP="00545DCB">
            <w:pPr>
              <w:rPr>
                <w:rFonts w:eastAsia="Calibri" w:cs="Times New Roman"/>
                <w:b w:val="0"/>
              </w:rPr>
            </w:pPr>
            <w:r w:rsidRPr="00376CD5">
              <w:rPr>
                <w:rFonts w:eastAsia="Calibri" w:cs="Times New Roman"/>
                <w:b w:val="0"/>
              </w:rPr>
              <w:t>Small decline</w:t>
            </w:r>
          </w:p>
        </w:tc>
        <w:tc>
          <w:tcPr>
            <w:tcW w:w="4937"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18.1%(35)</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35" w:type="dxa"/>
          </w:tcPr>
          <w:p w:rsidR="00DB4DEE" w:rsidRPr="00376CD5" w:rsidRDefault="00DB4DEE" w:rsidP="00545DCB">
            <w:pPr>
              <w:rPr>
                <w:rFonts w:eastAsia="Calibri" w:cs="Times New Roman"/>
                <w:b w:val="0"/>
              </w:rPr>
            </w:pPr>
            <w:r w:rsidRPr="00376CD5">
              <w:rPr>
                <w:rFonts w:eastAsia="Calibri" w:cs="Times New Roman"/>
                <w:b w:val="0"/>
              </w:rPr>
              <w:t>Stay the same</w:t>
            </w:r>
          </w:p>
        </w:tc>
        <w:tc>
          <w:tcPr>
            <w:tcW w:w="4937"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42.0%(81)</w:t>
            </w:r>
          </w:p>
        </w:tc>
      </w:tr>
      <w:tr w:rsidR="00DB4DEE" w:rsidRPr="00376CD5" w:rsidTr="00545DCB">
        <w:trPr>
          <w:trHeight w:val="330"/>
        </w:trPr>
        <w:tc>
          <w:tcPr>
            <w:cnfStyle w:val="001000000000" w:firstRow="0" w:lastRow="0" w:firstColumn="1" w:lastColumn="0" w:oddVBand="0" w:evenVBand="0" w:oddHBand="0" w:evenHBand="0" w:firstRowFirstColumn="0" w:firstRowLastColumn="0" w:lastRowFirstColumn="0" w:lastRowLastColumn="0"/>
            <w:tcW w:w="5035" w:type="dxa"/>
          </w:tcPr>
          <w:p w:rsidR="00DB4DEE" w:rsidRPr="00376CD5" w:rsidRDefault="00DB4DEE" w:rsidP="00545DCB">
            <w:pPr>
              <w:rPr>
                <w:rFonts w:eastAsia="Calibri" w:cs="Times New Roman"/>
                <w:b w:val="0"/>
              </w:rPr>
            </w:pPr>
            <w:r w:rsidRPr="00376CD5">
              <w:rPr>
                <w:rFonts w:eastAsia="Calibri" w:cs="Times New Roman"/>
                <w:b w:val="0"/>
              </w:rPr>
              <w:t>Small increase</w:t>
            </w:r>
          </w:p>
        </w:tc>
        <w:tc>
          <w:tcPr>
            <w:tcW w:w="4937"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36.8%(71)</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35" w:type="dxa"/>
          </w:tcPr>
          <w:p w:rsidR="00DB4DEE" w:rsidRPr="00376CD5" w:rsidRDefault="00DB4DEE" w:rsidP="00545DCB">
            <w:pPr>
              <w:rPr>
                <w:rFonts w:eastAsia="Calibri" w:cs="Times New Roman"/>
                <w:b w:val="0"/>
              </w:rPr>
            </w:pPr>
            <w:r w:rsidRPr="00376CD5">
              <w:rPr>
                <w:rFonts w:eastAsia="Calibri" w:cs="Times New Roman"/>
                <w:b w:val="0"/>
              </w:rPr>
              <w:t>Large increase</w:t>
            </w:r>
          </w:p>
        </w:tc>
        <w:tc>
          <w:tcPr>
            <w:tcW w:w="4937"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1.6%(3)</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color w:val="000000"/>
        </w:rPr>
      </w:pPr>
    </w:p>
    <w:p w:rsidR="00DB4DEE" w:rsidRPr="00376CD5" w:rsidRDefault="00DB4DEE" w:rsidP="00DB4DEE">
      <w:pPr>
        <w:spacing w:after="0" w:line="240" w:lineRule="auto"/>
        <w:rPr>
          <w:color w:val="000000"/>
        </w:rPr>
      </w:pPr>
    </w:p>
    <w:p w:rsidR="00DB4DEE" w:rsidRPr="00376CD5" w:rsidRDefault="00DB4DEE" w:rsidP="00DB4DEE">
      <w:pPr>
        <w:spacing w:after="0" w:line="240" w:lineRule="auto"/>
        <w:rPr>
          <w:color w:val="000000"/>
        </w:rPr>
      </w:pPr>
    </w:p>
    <w:p w:rsidR="00DB4DEE" w:rsidRPr="00376CD5" w:rsidRDefault="00DB4DEE" w:rsidP="00DB4DEE">
      <w:pPr>
        <w:spacing w:after="0" w:line="240" w:lineRule="auto"/>
        <w:rPr>
          <w:color w:val="000000"/>
        </w:rPr>
      </w:pPr>
    </w:p>
    <w:p w:rsidR="00DB4DEE" w:rsidRPr="00376CD5" w:rsidRDefault="00DB4DEE" w:rsidP="00DB4DEE">
      <w:pPr>
        <w:spacing w:after="0" w:line="240" w:lineRule="auto"/>
        <w:rPr>
          <w:rFonts w:eastAsia="Calibri" w:cs="Times New Roman"/>
        </w:rPr>
      </w:pPr>
      <w:r w:rsidRPr="00376CD5">
        <w:rPr>
          <w:color w:val="000000"/>
        </w:rPr>
        <w:lastRenderedPageBreak/>
        <w:t xml:space="preserve">Overall status </w:t>
      </w:r>
      <w:r w:rsidRPr="00376CD5">
        <w:rPr>
          <w:rFonts w:eastAsia="Calibri" w:cs="Times New Roman"/>
        </w:rPr>
        <w:t>(Intensity index score: +13.6)</w:t>
      </w:r>
    </w:p>
    <w:tbl>
      <w:tblPr>
        <w:tblStyle w:val="LightShading1"/>
        <w:tblW w:w="9972" w:type="dxa"/>
        <w:tblInd w:w="108" w:type="dxa"/>
        <w:tblLook w:val="04A0" w:firstRow="1" w:lastRow="0" w:firstColumn="1" w:lastColumn="0" w:noHBand="0" w:noVBand="1"/>
      </w:tblPr>
      <w:tblGrid>
        <w:gridCol w:w="5028"/>
        <w:gridCol w:w="4944"/>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028" w:type="dxa"/>
          </w:tcPr>
          <w:p w:rsidR="00DB4DEE" w:rsidRPr="00376CD5" w:rsidRDefault="00DB4DEE" w:rsidP="00545DCB">
            <w:pPr>
              <w:rPr>
                <w:rFonts w:eastAsia="Calibri" w:cs="Times New Roman"/>
                <w:b w:val="0"/>
              </w:rPr>
            </w:pPr>
          </w:p>
        </w:tc>
        <w:tc>
          <w:tcPr>
            <w:tcW w:w="4944"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028" w:type="dxa"/>
          </w:tcPr>
          <w:p w:rsidR="00DB4DEE" w:rsidRPr="00376CD5" w:rsidRDefault="00DB4DEE" w:rsidP="00545DCB">
            <w:pPr>
              <w:rPr>
                <w:rFonts w:eastAsia="Calibri" w:cs="Times New Roman"/>
                <w:b w:val="0"/>
              </w:rPr>
            </w:pPr>
            <w:r w:rsidRPr="00376CD5">
              <w:rPr>
                <w:rFonts w:eastAsia="Calibri" w:cs="Times New Roman"/>
                <w:b w:val="0"/>
              </w:rPr>
              <w:t>Large decline</w:t>
            </w:r>
          </w:p>
        </w:tc>
        <w:tc>
          <w:tcPr>
            <w:tcW w:w="4944"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1.0%(2)</w:t>
            </w:r>
          </w:p>
        </w:tc>
      </w:tr>
      <w:tr w:rsidR="00DB4DEE" w:rsidRPr="00376CD5" w:rsidTr="00545DCB">
        <w:trPr>
          <w:trHeight w:val="324"/>
        </w:trPr>
        <w:tc>
          <w:tcPr>
            <w:cnfStyle w:val="001000000000" w:firstRow="0" w:lastRow="0" w:firstColumn="1" w:lastColumn="0" w:oddVBand="0" w:evenVBand="0" w:oddHBand="0" w:evenHBand="0" w:firstRowFirstColumn="0" w:firstRowLastColumn="0" w:lastRowFirstColumn="0" w:lastRowLastColumn="0"/>
            <w:tcW w:w="5028" w:type="dxa"/>
          </w:tcPr>
          <w:p w:rsidR="00DB4DEE" w:rsidRPr="00376CD5" w:rsidRDefault="00DB4DEE" w:rsidP="00545DCB">
            <w:pPr>
              <w:rPr>
                <w:rFonts w:eastAsia="Calibri" w:cs="Times New Roman"/>
                <w:b w:val="0"/>
              </w:rPr>
            </w:pPr>
            <w:r w:rsidRPr="00376CD5">
              <w:rPr>
                <w:rFonts w:eastAsia="Calibri" w:cs="Times New Roman"/>
                <w:b w:val="0"/>
              </w:rPr>
              <w:t>Small decline</w:t>
            </w:r>
          </w:p>
        </w:tc>
        <w:tc>
          <w:tcPr>
            <w:tcW w:w="4944"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12.9%(26)</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028" w:type="dxa"/>
          </w:tcPr>
          <w:p w:rsidR="00DB4DEE" w:rsidRPr="00376CD5" w:rsidRDefault="00DB4DEE" w:rsidP="00545DCB">
            <w:pPr>
              <w:rPr>
                <w:rFonts w:eastAsia="Calibri" w:cs="Times New Roman"/>
                <w:b w:val="0"/>
              </w:rPr>
            </w:pPr>
            <w:r w:rsidRPr="00376CD5">
              <w:rPr>
                <w:rFonts w:eastAsia="Calibri" w:cs="Times New Roman"/>
                <w:b w:val="0"/>
              </w:rPr>
              <w:t>Stay the same</w:t>
            </w:r>
          </w:p>
        </w:tc>
        <w:tc>
          <w:tcPr>
            <w:tcW w:w="4944"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46.0%(93)</w:t>
            </w:r>
          </w:p>
        </w:tc>
      </w:tr>
      <w:tr w:rsidR="00DB4DEE" w:rsidRPr="00376CD5" w:rsidTr="00545DCB">
        <w:trPr>
          <w:trHeight w:val="324"/>
        </w:trPr>
        <w:tc>
          <w:tcPr>
            <w:cnfStyle w:val="001000000000" w:firstRow="0" w:lastRow="0" w:firstColumn="1" w:lastColumn="0" w:oddVBand="0" w:evenVBand="0" w:oddHBand="0" w:evenHBand="0" w:firstRowFirstColumn="0" w:firstRowLastColumn="0" w:lastRowFirstColumn="0" w:lastRowLastColumn="0"/>
            <w:tcW w:w="5028" w:type="dxa"/>
          </w:tcPr>
          <w:p w:rsidR="00DB4DEE" w:rsidRPr="00376CD5" w:rsidRDefault="00DB4DEE" w:rsidP="00545DCB">
            <w:pPr>
              <w:rPr>
                <w:rFonts w:eastAsia="Calibri" w:cs="Times New Roman"/>
                <w:b w:val="0"/>
              </w:rPr>
            </w:pPr>
            <w:r w:rsidRPr="00376CD5">
              <w:rPr>
                <w:rFonts w:eastAsia="Calibri" w:cs="Times New Roman"/>
                <w:b w:val="0"/>
              </w:rPr>
              <w:t>Small increase</w:t>
            </w:r>
          </w:p>
        </w:tc>
        <w:tc>
          <w:tcPr>
            <w:tcW w:w="4944"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38.1%(77)</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028" w:type="dxa"/>
          </w:tcPr>
          <w:p w:rsidR="00DB4DEE" w:rsidRPr="00376CD5" w:rsidRDefault="00DB4DEE" w:rsidP="00545DCB">
            <w:pPr>
              <w:rPr>
                <w:rFonts w:eastAsia="Calibri" w:cs="Times New Roman"/>
                <w:b w:val="0"/>
              </w:rPr>
            </w:pPr>
            <w:r w:rsidRPr="00376CD5">
              <w:rPr>
                <w:rFonts w:eastAsia="Calibri" w:cs="Times New Roman"/>
                <w:b w:val="0"/>
              </w:rPr>
              <w:t>Large increase</w:t>
            </w:r>
          </w:p>
        </w:tc>
        <w:tc>
          <w:tcPr>
            <w:tcW w:w="4944"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2.0%(4)</w:t>
            </w:r>
          </w:p>
        </w:tc>
      </w:tr>
    </w:tbl>
    <w:p w:rsidR="00DB4DEE" w:rsidRPr="00376CD5" w:rsidRDefault="00DB4DEE" w:rsidP="00DB4DEE">
      <w:pPr>
        <w:spacing w:after="0" w:line="240" w:lineRule="auto"/>
        <w:rPr>
          <w:color w:val="000000"/>
        </w:rPr>
      </w:pPr>
    </w:p>
    <w:p w:rsidR="00DB4DEE" w:rsidRPr="00376CD5" w:rsidRDefault="00DB4DEE" w:rsidP="00DB4DEE">
      <w:pPr>
        <w:spacing w:after="0" w:line="240" w:lineRule="auto"/>
        <w:rPr>
          <w:color w:val="000000"/>
        </w:rPr>
      </w:pPr>
      <w:r w:rsidRPr="00376CD5">
        <w:rPr>
          <w:color w:val="000000"/>
        </w:rPr>
        <w:t xml:space="preserve">Right now, as you look over the next 12 months, what are the </w:t>
      </w:r>
      <w:r w:rsidRPr="00376CD5">
        <w:rPr>
          <w:color w:val="000000"/>
          <w:u w:val="single"/>
        </w:rPr>
        <w:t xml:space="preserve">three </w:t>
      </w:r>
      <w:r w:rsidRPr="00376CD5">
        <w:rPr>
          <w:color w:val="000000"/>
        </w:rPr>
        <w:t xml:space="preserve">biggest challenges facing </w:t>
      </w:r>
      <w:r w:rsidRPr="00376CD5">
        <w:rPr>
          <w:color w:val="000000"/>
          <w:u w:val="single"/>
        </w:rPr>
        <w:t>your business/firm/organization</w:t>
      </w:r>
      <w:r w:rsidRPr="00376CD5">
        <w:rPr>
          <w:color w:val="000000"/>
        </w:rPr>
        <w:t>.</w:t>
      </w:r>
    </w:p>
    <w:tbl>
      <w:tblPr>
        <w:tblStyle w:val="LightShading1"/>
        <w:tblW w:w="9974" w:type="dxa"/>
        <w:tblInd w:w="108" w:type="dxa"/>
        <w:tblLook w:val="04A0" w:firstRow="1" w:lastRow="0" w:firstColumn="1" w:lastColumn="0" w:noHBand="0" w:noVBand="1"/>
      </w:tblPr>
      <w:tblGrid>
        <w:gridCol w:w="5996"/>
        <w:gridCol w:w="3978"/>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996" w:type="dxa"/>
          </w:tcPr>
          <w:p w:rsidR="00DB4DEE" w:rsidRPr="00376CD5" w:rsidRDefault="00DB4DEE" w:rsidP="00545DCB">
            <w:pPr>
              <w:rPr>
                <w:rFonts w:eastAsia="Calibri" w:cs="Times New Roman"/>
                <w:b w:val="0"/>
              </w:rPr>
            </w:pPr>
          </w:p>
        </w:tc>
        <w:tc>
          <w:tcPr>
            <w:tcW w:w="3978"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996" w:type="dxa"/>
          </w:tcPr>
          <w:p w:rsidR="00DB4DEE" w:rsidRPr="00376CD5" w:rsidRDefault="00DB4DEE" w:rsidP="00545DCB">
            <w:pPr>
              <w:rPr>
                <w:rFonts w:eastAsia="Calibri" w:cs="Times New Roman"/>
                <w:b w:val="0"/>
              </w:rPr>
            </w:pPr>
            <w:r w:rsidRPr="00376CD5">
              <w:rPr>
                <w:rFonts w:eastAsia="Calibri" w:cs="Times New Roman"/>
                <w:b w:val="0"/>
              </w:rPr>
              <w:t>Government regulations and taxation</w:t>
            </w:r>
          </w:p>
        </w:tc>
        <w:tc>
          <w:tcPr>
            <w:tcW w:w="3978"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47.3%(98)</w:t>
            </w:r>
          </w:p>
        </w:tc>
      </w:tr>
      <w:tr w:rsidR="00DB4DEE" w:rsidRPr="00376CD5" w:rsidTr="00545DCB">
        <w:trPr>
          <w:trHeight w:val="323"/>
        </w:trPr>
        <w:tc>
          <w:tcPr>
            <w:cnfStyle w:val="001000000000" w:firstRow="0" w:lastRow="0" w:firstColumn="1" w:lastColumn="0" w:oddVBand="0" w:evenVBand="0" w:oddHBand="0" w:evenHBand="0" w:firstRowFirstColumn="0" w:firstRowLastColumn="0" w:lastRowFirstColumn="0" w:lastRowLastColumn="0"/>
            <w:tcW w:w="5996" w:type="dxa"/>
          </w:tcPr>
          <w:p w:rsidR="00DB4DEE" w:rsidRPr="00376CD5" w:rsidRDefault="00DB4DEE" w:rsidP="00545DCB">
            <w:pPr>
              <w:rPr>
                <w:rFonts w:eastAsia="Calibri" w:cs="Times New Roman"/>
                <w:b w:val="0"/>
              </w:rPr>
            </w:pPr>
            <w:r w:rsidRPr="00376CD5">
              <w:rPr>
                <w:rFonts w:eastAsia="Calibri" w:cs="Times New Roman"/>
                <w:b w:val="0"/>
              </w:rPr>
              <w:t>Healthcare for employees (e.g., Affordable Care Act)</w:t>
            </w:r>
          </w:p>
        </w:tc>
        <w:tc>
          <w:tcPr>
            <w:tcW w:w="3978"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33.3%(69)</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996" w:type="dxa"/>
          </w:tcPr>
          <w:p w:rsidR="00DB4DEE" w:rsidRPr="00376CD5" w:rsidRDefault="00DB4DEE" w:rsidP="00545DCB">
            <w:pPr>
              <w:rPr>
                <w:rFonts w:eastAsia="Calibri" w:cs="Times New Roman"/>
                <w:b w:val="0"/>
              </w:rPr>
            </w:pPr>
            <w:r w:rsidRPr="00376CD5">
              <w:rPr>
                <w:rFonts w:eastAsia="Calibri" w:cs="Times New Roman"/>
                <w:b w:val="0"/>
              </w:rPr>
              <w:t>State government finances</w:t>
            </w:r>
          </w:p>
        </w:tc>
        <w:tc>
          <w:tcPr>
            <w:tcW w:w="3978"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33.3%(69)</w:t>
            </w:r>
          </w:p>
        </w:tc>
      </w:tr>
      <w:tr w:rsidR="00DB4DEE" w:rsidRPr="00376CD5" w:rsidTr="00545DCB">
        <w:trPr>
          <w:trHeight w:val="323"/>
        </w:trPr>
        <w:tc>
          <w:tcPr>
            <w:cnfStyle w:val="001000000000" w:firstRow="0" w:lastRow="0" w:firstColumn="1" w:lastColumn="0" w:oddVBand="0" w:evenVBand="0" w:oddHBand="0" w:evenHBand="0" w:firstRowFirstColumn="0" w:firstRowLastColumn="0" w:lastRowFirstColumn="0" w:lastRowLastColumn="0"/>
            <w:tcW w:w="5996" w:type="dxa"/>
          </w:tcPr>
          <w:p w:rsidR="00DB4DEE" w:rsidRPr="00376CD5" w:rsidRDefault="00DB4DEE" w:rsidP="00545DCB">
            <w:pPr>
              <w:rPr>
                <w:rFonts w:eastAsia="Calibri" w:cs="Times New Roman"/>
                <w:b w:val="0"/>
              </w:rPr>
            </w:pPr>
            <w:r w:rsidRPr="00376CD5">
              <w:rPr>
                <w:rFonts w:eastAsia="Calibri" w:cs="Times New Roman"/>
                <w:b w:val="0"/>
              </w:rPr>
              <w:t>Availability of skilled/trained workers</w:t>
            </w:r>
          </w:p>
        </w:tc>
        <w:tc>
          <w:tcPr>
            <w:tcW w:w="3978"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26.1%(54)</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996" w:type="dxa"/>
          </w:tcPr>
          <w:p w:rsidR="00DB4DEE" w:rsidRPr="00376CD5" w:rsidRDefault="00DB4DEE" w:rsidP="00545DCB">
            <w:pPr>
              <w:rPr>
                <w:rFonts w:eastAsia="Calibri" w:cs="Times New Roman"/>
                <w:b w:val="0"/>
              </w:rPr>
            </w:pPr>
            <w:r w:rsidRPr="00376CD5">
              <w:rPr>
                <w:rFonts w:eastAsia="Calibri" w:cs="Times New Roman"/>
                <w:b w:val="0"/>
              </w:rPr>
              <w:t>Competition from local/state/national firms</w:t>
            </w:r>
          </w:p>
        </w:tc>
        <w:tc>
          <w:tcPr>
            <w:tcW w:w="3978"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24.6%(51)</w:t>
            </w:r>
          </w:p>
        </w:tc>
      </w:tr>
      <w:tr w:rsidR="00DB4DEE" w:rsidRPr="00376CD5" w:rsidTr="00545DCB">
        <w:trPr>
          <w:trHeight w:val="323"/>
        </w:trPr>
        <w:tc>
          <w:tcPr>
            <w:cnfStyle w:val="001000000000" w:firstRow="0" w:lastRow="0" w:firstColumn="1" w:lastColumn="0" w:oddVBand="0" w:evenVBand="0" w:oddHBand="0" w:evenHBand="0" w:firstRowFirstColumn="0" w:firstRowLastColumn="0" w:lastRowFirstColumn="0" w:lastRowLastColumn="0"/>
            <w:tcW w:w="5996" w:type="dxa"/>
          </w:tcPr>
          <w:p w:rsidR="00DB4DEE" w:rsidRPr="00376CD5" w:rsidRDefault="00DB4DEE" w:rsidP="00545DCB">
            <w:pPr>
              <w:rPr>
                <w:rFonts w:eastAsia="Calibri" w:cs="Times New Roman"/>
                <w:b w:val="0"/>
              </w:rPr>
            </w:pPr>
            <w:r w:rsidRPr="00376CD5">
              <w:rPr>
                <w:rFonts w:eastAsia="Calibri" w:cs="Times New Roman"/>
                <w:b w:val="0"/>
              </w:rPr>
              <w:t>Employee (union and nonunion) compensation and benefits (not healthcare)</w:t>
            </w:r>
          </w:p>
        </w:tc>
        <w:tc>
          <w:tcPr>
            <w:tcW w:w="3978"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24.2%(50)</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996" w:type="dxa"/>
          </w:tcPr>
          <w:p w:rsidR="00DB4DEE" w:rsidRPr="00376CD5" w:rsidRDefault="00DB4DEE" w:rsidP="00545DCB">
            <w:pPr>
              <w:rPr>
                <w:rFonts w:eastAsia="Calibri" w:cs="Times New Roman"/>
                <w:b w:val="0"/>
              </w:rPr>
            </w:pPr>
            <w:r w:rsidRPr="00376CD5">
              <w:rPr>
                <w:rFonts w:eastAsia="Calibri" w:cs="Times New Roman"/>
                <w:b w:val="0"/>
              </w:rPr>
              <w:t>Consumer confidence/spending</w:t>
            </w:r>
          </w:p>
        </w:tc>
        <w:tc>
          <w:tcPr>
            <w:tcW w:w="3978"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22.7%(47)</w:t>
            </w:r>
          </w:p>
        </w:tc>
      </w:tr>
      <w:tr w:rsidR="00DB4DEE" w:rsidRPr="00376CD5" w:rsidTr="00545DCB">
        <w:trPr>
          <w:trHeight w:val="323"/>
        </w:trPr>
        <w:tc>
          <w:tcPr>
            <w:cnfStyle w:val="001000000000" w:firstRow="0" w:lastRow="0" w:firstColumn="1" w:lastColumn="0" w:oddVBand="0" w:evenVBand="0" w:oddHBand="0" w:evenHBand="0" w:firstRowFirstColumn="0" w:firstRowLastColumn="0" w:lastRowFirstColumn="0" w:lastRowLastColumn="0"/>
            <w:tcW w:w="5996" w:type="dxa"/>
          </w:tcPr>
          <w:p w:rsidR="00DB4DEE" w:rsidRPr="00376CD5" w:rsidRDefault="00DB4DEE" w:rsidP="00545DCB">
            <w:pPr>
              <w:rPr>
                <w:rFonts w:eastAsia="Calibri" w:cs="Times New Roman"/>
                <w:b w:val="0"/>
              </w:rPr>
            </w:pPr>
            <w:r w:rsidRPr="00376CD5">
              <w:rPr>
                <w:rFonts w:eastAsia="Calibri" w:cs="Times New Roman"/>
                <w:b w:val="0"/>
              </w:rPr>
              <w:t>Energy prices</w:t>
            </w:r>
          </w:p>
        </w:tc>
        <w:tc>
          <w:tcPr>
            <w:tcW w:w="3978"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15.9%(33)</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996" w:type="dxa"/>
          </w:tcPr>
          <w:p w:rsidR="00DB4DEE" w:rsidRPr="00376CD5" w:rsidRDefault="00DB4DEE" w:rsidP="00545DCB">
            <w:pPr>
              <w:rPr>
                <w:rFonts w:eastAsia="Calibri" w:cs="Times New Roman"/>
                <w:b w:val="0"/>
              </w:rPr>
            </w:pPr>
            <w:r w:rsidRPr="00376CD5">
              <w:rPr>
                <w:rFonts w:eastAsia="Calibri" w:cs="Times New Roman"/>
                <w:b w:val="0"/>
              </w:rPr>
              <w:t>Commodity prices</w:t>
            </w:r>
          </w:p>
        </w:tc>
        <w:tc>
          <w:tcPr>
            <w:tcW w:w="3978"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15.5%(32)</w:t>
            </w:r>
          </w:p>
        </w:tc>
      </w:tr>
      <w:tr w:rsidR="00DB4DEE" w:rsidRPr="00376CD5" w:rsidTr="00545DCB">
        <w:trPr>
          <w:trHeight w:val="341"/>
        </w:trPr>
        <w:tc>
          <w:tcPr>
            <w:cnfStyle w:val="001000000000" w:firstRow="0" w:lastRow="0" w:firstColumn="1" w:lastColumn="0" w:oddVBand="0" w:evenVBand="0" w:oddHBand="0" w:evenHBand="0" w:firstRowFirstColumn="0" w:firstRowLastColumn="0" w:lastRowFirstColumn="0" w:lastRowLastColumn="0"/>
            <w:tcW w:w="5996" w:type="dxa"/>
          </w:tcPr>
          <w:p w:rsidR="00DB4DEE" w:rsidRPr="00376CD5" w:rsidRDefault="00DB4DEE" w:rsidP="00545DCB">
            <w:pPr>
              <w:rPr>
                <w:rFonts w:eastAsia="Calibri" w:cs="Times New Roman"/>
                <w:b w:val="0"/>
              </w:rPr>
            </w:pPr>
            <w:r w:rsidRPr="00376CD5">
              <w:rPr>
                <w:rFonts w:eastAsia="Calibri" w:cs="Times New Roman"/>
                <w:b w:val="0"/>
              </w:rPr>
              <w:t>Inflation</w:t>
            </w:r>
          </w:p>
        </w:tc>
        <w:tc>
          <w:tcPr>
            <w:tcW w:w="3978"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13.0%(27)</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996" w:type="dxa"/>
          </w:tcPr>
          <w:p w:rsidR="00DB4DEE" w:rsidRPr="00376CD5" w:rsidRDefault="00DB4DEE" w:rsidP="00545DCB">
            <w:pPr>
              <w:rPr>
                <w:rFonts w:eastAsia="Calibri" w:cs="Times New Roman"/>
                <w:b w:val="0"/>
              </w:rPr>
            </w:pPr>
            <w:r w:rsidRPr="00376CD5">
              <w:rPr>
                <w:rFonts w:eastAsia="Calibri" w:cs="Times New Roman"/>
                <w:b w:val="0"/>
              </w:rPr>
              <w:t>Interest rates</w:t>
            </w:r>
          </w:p>
        </w:tc>
        <w:tc>
          <w:tcPr>
            <w:tcW w:w="3978"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5.8%(12)</w:t>
            </w:r>
          </w:p>
        </w:tc>
      </w:tr>
      <w:tr w:rsidR="00DB4DEE" w:rsidRPr="00376CD5" w:rsidTr="00545DCB">
        <w:trPr>
          <w:trHeight w:val="323"/>
        </w:trPr>
        <w:tc>
          <w:tcPr>
            <w:cnfStyle w:val="001000000000" w:firstRow="0" w:lastRow="0" w:firstColumn="1" w:lastColumn="0" w:oddVBand="0" w:evenVBand="0" w:oddHBand="0" w:evenHBand="0" w:firstRowFirstColumn="0" w:firstRowLastColumn="0" w:lastRowFirstColumn="0" w:lastRowLastColumn="0"/>
            <w:tcW w:w="5996" w:type="dxa"/>
          </w:tcPr>
          <w:p w:rsidR="00DB4DEE" w:rsidRPr="00376CD5" w:rsidRDefault="00DB4DEE" w:rsidP="00545DCB">
            <w:pPr>
              <w:rPr>
                <w:rFonts w:eastAsia="Calibri" w:cs="Times New Roman"/>
                <w:b w:val="0"/>
              </w:rPr>
            </w:pPr>
            <w:r w:rsidRPr="00376CD5">
              <w:rPr>
                <w:rFonts w:eastAsia="Calibri" w:cs="Times New Roman"/>
                <w:b w:val="0"/>
              </w:rPr>
              <w:t>Global competition</w:t>
            </w:r>
          </w:p>
        </w:tc>
        <w:tc>
          <w:tcPr>
            <w:tcW w:w="3978"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3.9%(8)</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996" w:type="dxa"/>
          </w:tcPr>
          <w:p w:rsidR="00DB4DEE" w:rsidRPr="00376CD5" w:rsidRDefault="00DB4DEE" w:rsidP="00545DCB">
            <w:pPr>
              <w:rPr>
                <w:rFonts w:eastAsia="Calibri" w:cs="Times New Roman"/>
                <w:b w:val="0"/>
              </w:rPr>
            </w:pPr>
            <w:r w:rsidRPr="00376CD5">
              <w:rPr>
                <w:rFonts w:eastAsia="Calibri" w:cs="Times New Roman"/>
                <w:b w:val="0"/>
              </w:rPr>
              <w:t>Other specify:</w:t>
            </w:r>
          </w:p>
        </w:tc>
        <w:tc>
          <w:tcPr>
            <w:tcW w:w="3978"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4.3%(9)</w:t>
            </w:r>
          </w:p>
        </w:tc>
      </w:tr>
    </w:tbl>
    <w:p w:rsidR="00DB4DEE" w:rsidRPr="00376CD5" w:rsidRDefault="00DB4DEE" w:rsidP="00DB4DEE">
      <w:pPr>
        <w:spacing w:after="0" w:line="240" w:lineRule="auto"/>
        <w:rPr>
          <w:rFonts w:eastAsia="Calibri" w:cs="Times New Roman"/>
        </w:rPr>
      </w:pPr>
      <w:r w:rsidRPr="00376CD5">
        <w:rPr>
          <w:rFonts w:eastAsia="Calibri" w:cs="Times New Roman"/>
        </w:rPr>
        <w:t>Others mentioned: bad location, federal funding of transportation projects, private donations</w:t>
      </w:r>
    </w:p>
    <w:p w:rsidR="00DB4DEE" w:rsidRPr="00376CD5" w:rsidRDefault="00DB4DEE" w:rsidP="00DB4DEE">
      <w:pPr>
        <w:spacing w:after="0" w:line="240" w:lineRule="auto"/>
        <w:rPr>
          <w:rFonts w:eastAsia="Calibri" w:cs="Times New Roman"/>
          <w:i/>
        </w:rPr>
      </w:pPr>
    </w:p>
    <w:p w:rsidR="00DB4DEE" w:rsidRPr="00376CD5" w:rsidRDefault="00DB4DEE" w:rsidP="00DB4DEE">
      <w:pPr>
        <w:spacing w:after="0" w:line="240" w:lineRule="auto"/>
        <w:rPr>
          <w:rFonts w:eastAsia="Calibri" w:cs="Times New Roman"/>
          <w:i/>
        </w:rPr>
      </w:pPr>
    </w:p>
    <w:p w:rsidR="00DB4DEE" w:rsidRPr="00376CD5" w:rsidRDefault="00DB4DEE" w:rsidP="00DB4DEE">
      <w:pPr>
        <w:spacing w:after="0" w:line="240" w:lineRule="auto"/>
        <w:rPr>
          <w:rFonts w:eastAsia="Calibri" w:cs="Times New Roman"/>
          <w:i/>
        </w:rPr>
      </w:pPr>
    </w:p>
    <w:p w:rsidR="00DB4DEE" w:rsidRPr="00376CD5" w:rsidRDefault="00DB4DEE" w:rsidP="00DB4DEE">
      <w:pPr>
        <w:spacing w:after="0" w:line="240" w:lineRule="auto"/>
        <w:rPr>
          <w:rFonts w:eastAsia="Calibri" w:cs="Times New Roman"/>
          <w:i/>
        </w:rPr>
      </w:pPr>
    </w:p>
    <w:p w:rsidR="00DB4DEE" w:rsidRPr="00376CD5" w:rsidRDefault="00DB4DEE" w:rsidP="00DB4DEE">
      <w:pPr>
        <w:spacing w:after="0" w:line="240" w:lineRule="auto"/>
        <w:rPr>
          <w:rFonts w:eastAsia="Calibri" w:cs="Times New Roman"/>
          <w:i/>
        </w:rPr>
      </w:pPr>
    </w:p>
    <w:p w:rsidR="00DB4DEE" w:rsidRPr="00376CD5" w:rsidRDefault="00DB4DEE" w:rsidP="00DB4DEE">
      <w:pPr>
        <w:spacing w:after="0" w:line="240" w:lineRule="auto"/>
        <w:rPr>
          <w:rFonts w:eastAsia="Calibri" w:cs="Times New Roman"/>
          <w:i/>
        </w:rPr>
      </w:pPr>
    </w:p>
    <w:p w:rsidR="00DB4DEE" w:rsidRPr="00376CD5" w:rsidRDefault="00DB4DEE" w:rsidP="00DB4DEE">
      <w:pPr>
        <w:spacing w:after="0" w:line="240" w:lineRule="auto"/>
        <w:rPr>
          <w:rFonts w:eastAsia="Calibri" w:cs="Times New Roman"/>
          <w:i/>
        </w:rPr>
      </w:pPr>
    </w:p>
    <w:p w:rsidR="00DB4DEE" w:rsidRPr="00376CD5" w:rsidRDefault="00DB4DEE" w:rsidP="00DB4DEE">
      <w:pPr>
        <w:spacing w:after="0" w:line="240" w:lineRule="auto"/>
        <w:rPr>
          <w:rFonts w:eastAsia="Calibri" w:cs="Times New Roman"/>
          <w:i/>
        </w:rPr>
      </w:pPr>
    </w:p>
    <w:p w:rsidR="00DB4DEE" w:rsidRPr="00376CD5" w:rsidRDefault="00DB4DEE" w:rsidP="00DB4DEE">
      <w:pPr>
        <w:spacing w:after="0" w:line="240" w:lineRule="auto"/>
        <w:rPr>
          <w:rFonts w:eastAsia="Calibri" w:cs="Times New Roman"/>
          <w:i/>
        </w:rPr>
      </w:pPr>
    </w:p>
    <w:p w:rsidR="00DB4DEE" w:rsidRPr="00376CD5" w:rsidRDefault="00DB4DEE" w:rsidP="00DB4DEE">
      <w:pPr>
        <w:spacing w:after="0" w:line="240" w:lineRule="auto"/>
        <w:rPr>
          <w:rFonts w:eastAsia="Calibri" w:cs="Times New Roman"/>
          <w:i/>
        </w:rPr>
      </w:pPr>
    </w:p>
    <w:p w:rsidR="00DB4DEE" w:rsidRPr="00376CD5" w:rsidRDefault="00DB4DEE" w:rsidP="00DB4DEE">
      <w:pPr>
        <w:spacing w:after="0" w:line="240" w:lineRule="auto"/>
        <w:rPr>
          <w:rFonts w:eastAsia="Calibri" w:cs="Times New Roman"/>
          <w:i/>
        </w:rPr>
      </w:pPr>
    </w:p>
    <w:p w:rsidR="00DB4DEE" w:rsidRPr="00376CD5" w:rsidRDefault="00DB4DEE" w:rsidP="00DB4DEE">
      <w:pPr>
        <w:spacing w:after="0" w:line="240" w:lineRule="auto"/>
        <w:rPr>
          <w:rFonts w:eastAsia="Calibri" w:cs="Times New Roman"/>
          <w:i/>
        </w:rPr>
      </w:pPr>
    </w:p>
    <w:p w:rsidR="00DB4DEE" w:rsidRPr="00376CD5" w:rsidRDefault="00DB4DEE" w:rsidP="00DB4DEE">
      <w:pPr>
        <w:spacing w:after="0" w:line="240" w:lineRule="auto"/>
        <w:rPr>
          <w:rFonts w:eastAsia="Calibri" w:cs="Times New Roman"/>
          <w:i/>
        </w:rPr>
      </w:pPr>
    </w:p>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rFonts w:eastAsia="Calibri" w:cs="Times New Roman"/>
        </w:rPr>
      </w:pPr>
    </w:p>
    <w:p w:rsidR="00DB4DEE" w:rsidRPr="00376CD5" w:rsidRDefault="00DB4DEE" w:rsidP="00DB4DEE">
      <w:pPr>
        <w:rPr>
          <w:rFonts w:eastAsia="Calibri" w:cs="Times New Roman"/>
          <w:u w:val="single"/>
        </w:rPr>
      </w:pPr>
      <w:r w:rsidRPr="00376CD5">
        <w:rPr>
          <w:rFonts w:eastAsia="Calibri" w:cs="Times New Roman"/>
          <w:u w:val="single"/>
        </w:rPr>
        <w:br w:type="page"/>
      </w:r>
    </w:p>
    <w:p w:rsidR="00DB4DEE" w:rsidRPr="00376CD5" w:rsidRDefault="00DB4DEE" w:rsidP="00DB4DEE">
      <w:pPr>
        <w:spacing w:after="0" w:line="240" w:lineRule="auto"/>
        <w:rPr>
          <w:rFonts w:eastAsia="Calibri" w:cs="Times New Roman"/>
          <w:u w:val="single"/>
        </w:rPr>
      </w:pPr>
      <w:r w:rsidRPr="00376CD5">
        <w:rPr>
          <w:rFonts w:eastAsia="Calibri" w:cs="Times New Roman"/>
          <w:u w:val="single"/>
        </w:rPr>
        <w:lastRenderedPageBreak/>
        <w:t xml:space="preserve">Section 4: Sangamon County Strengths and Weaknesses </w:t>
      </w:r>
    </w:p>
    <w:p w:rsidR="00DB4DEE" w:rsidRPr="00376CD5" w:rsidRDefault="00DB4DEE" w:rsidP="00DB4DEE">
      <w:pPr>
        <w:spacing w:after="0" w:line="240" w:lineRule="auto"/>
        <w:rPr>
          <w:rFonts w:eastAsia="Calibri" w:cs="Times New Roman"/>
          <w:i/>
        </w:rPr>
      </w:pPr>
      <w:r w:rsidRPr="00376CD5">
        <w:rPr>
          <w:rFonts w:eastAsia="Calibri" w:cs="Times New Roman"/>
          <w:i/>
        </w:rPr>
        <w:t xml:space="preserve">This section is the topical portion of the survey and changes during each survey administration. The </w:t>
      </w:r>
      <w:proofErr w:type="gramStart"/>
      <w:r w:rsidRPr="00376CD5">
        <w:rPr>
          <w:rFonts w:eastAsia="Calibri" w:cs="Times New Roman"/>
          <w:i/>
        </w:rPr>
        <w:t>Fall</w:t>
      </w:r>
      <w:proofErr w:type="gramEnd"/>
      <w:r w:rsidRPr="00376CD5">
        <w:rPr>
          <w:rFonts w:eastAsia="Calibri" w:cs="Times New Roman"/>
          <w:i/>
        </w:rPr>
        <w:t xml:space="preserve"> 2014 survey includes questions on minimum wage laws and quality of utility services.</w:t>
      </w:r>
    </w:p>
    <w:p w:rsidR="00DB4DEE" w:rsidRPr="00376CD5" w:rsidRDefault="00DB4DEE" w:rsidP="00DB4DEE">
      <w:pPr>
        <w:spacing w:after="0" w:line="240" w:lineRule="auto"/>
        <w:rPr>
          <w:rFonts w:eastAsia="Calibri" w:cs="Times New Roman"/>
          <w:i/>
        </w:rPr>
      </w:pPr>
    </w:p>
    <w:p w:rsidR="00DB4DEE" w:rsidRPr="00376CD5" w:rsidRDefault="00DB4DEE" w:rsidP="00DB4DEE">
      <w:pPr>
        <w:spacing w:after="0" w:line="240" w:lineRule="auto"/>
        <w:rPr>
          <w:color w:val="000000"/>
        </w:rPr>
      </w:pPr>
      <w:r w:rsidRPr="00376CD5">
        <w:rPr>
          <w:color w:val="000000"/>
        </w:rPr>
        <w:t>Thinking about businesses or organizations like yours, do you think the following are a big asset, small asset, neither an asset nor a liability, a small liability, or a big liability for doing business in Sangamon County?</w:t>
      </w:r>
    </w:p>
    <w:p w:rsidR="00DB4DEE" w:rsidRPr="00376CD5" w:rsidRDefault="00DB4DEE" w:rsidP="00DB4DEE">
      <w:pPr>
        <w:spacing w:after="0" w:line="240" w:lineRule="auto"/>
        <w:rPr>
          <w:color w:val="000000"/>
        </w:rPr>
      </w:pPr>
    </w:p>
    <w:p w:rsidR="00DB4DEE" w:rsidRPr="00376CD5" w:rsidRDefault="00DB4DEE" w:rsidP="00DB4DEE">
      <w:pPr>
        <w:spacing w:after="0" w:line="240" w:lineRule="auto"/>
        <w:rPr>
          <w:color w:val="000000"/>
        </w:rPr>
      </w:pPr>
      <w:r w:rsidRPr="00376CD5">
        <w:rPr>
          <w:color w:val="000000"/>
        </w:rPr>
        <w:t>Cost of/availability of land and expansion possibilities</w:t>
      </w:r>
    </w:p>
    <w:tbl>
      <w:tblPr>
        <w:tblStyle w:val="LightShading1"/>
        <w:tblW w:w="9972" w:type="dxa"/>
        <w:tblInd w:w="108" w:type="dxa"/>
        <w:tblLook w:val="04A0" w:firstRow="1" w:lastRow="0" w:firstColumn="1" w:lastColumn="0" w:noHBand="0" w:noVBand="1"/>
      </w:tblPr>
      <w:tblGrid>
        <w:gridCol w:w="5117"/>
        <w:gridCol w:w="4855"/>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p>
        </w:tc>
        <w:tc>
          <w:tcPr>
            <w:tcW w:w="4855"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asset</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6.6%(13)</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asset</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24.2%(48)</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Neither an asset nor a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56.1%(111)</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liability</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10.6%(21)</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2.5%(5)</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color w:val="000000"/>
        </w:rPr>
      </w:pPr>
      <w:r w:rsidRPr="00376CD5">
        <w:rPr>
          <w:color w:val="000000"/>
        </w:rPr>
        <w:t>Access to/cost of communications networks</w:t>
      </w:r>
    </w:p>
    <w:tbl>
      <w:tblPr>
        <w:tblStyle w:val="LightShading1"/>
        <w:tblW w:w="9972" w:type="dxa"/>
        <w:tblInd w:w="108" w:type="dxa"/>
        <w:tblLook w:val="04A0" w:firstRow="1" w:lastRow="0" w:firstColumn="1" w:lastColumn="0" w:noHBand="0" w:noVBand="1"/>
      </w:tblPr>
      <w:tblGrid>
        <w:gridCol w:w="5117"/>
        <w:gridCol w:w="4855"/>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p>
        </w:tc>
        <w:tc>
          <w:tcPr>
            <w:tcW w:w="4855"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asset</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5.6%(11)</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asset</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25.3%(50)</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Neither an asset nor a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54.0%(107)</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liability</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13.1%(26)</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2.0%(4)</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color w:val="000000"/>
        </w:rPr>
      </w:pPr>
      <w:r w:rsidRPr="00376CD5">
        <w:rPr>
          <w:color w:val="000000"/>
        </w:rPr>
        <w:t>Access/proximity to transportation systems (highway, rail, air)</w:t>
      </w:r>
    </w:p>
    <w:tbl>
      <w:tblPr>
        <w:tblStyle w:val="LightShading1"/>
        <w:tblW w:w="9972" w:type="dxa"/>
        <w:tblInd w:w="108" w:type="dxa"/>
        <w:tblLook w:val="04A0" w:firstRow="1" w:lastRow="0" w:firstColumn="1" w:lastColumn="0" w:noHBand="0" w:noVBand="1"/>
      </w:tblPr>
      <w:tblGrid>
        <w:gridCol w:w="5117"/>
        <w:gridCol w:w="4855"/>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p>
        </w:tc>
        <w:tc>
          <w:tcPr>
            <w:tcW w:w="4855"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asset</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12.4%(25)</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asset</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30.3%(61)</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Neither an asset nor a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44.3%(89)</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liability</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11.4%(23)</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1.5%(3)</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color w:val="000000"/>
        </w:rPr>
      </w:pPr>
      <w:r w:rsidRPr="00376CD5">
        <w:rPr>
          <w:color w:val="000000"/>
        </w:rPr>
        <w:t>Availability of workforce</w:t>
      </w:r>
    </w:p>
    <w:tbl>
      <w:tblPr>
        <w:tblStyle w:val="LightShading1"/>
        <w:tblW w:w="9972" w:type="dxa"/>
        <w:tblInd w:w="108" w:type="dxa"/>
        <w:tblLook w:val="04A0" w:firstRow="1" w:lastRow="0" w:firstColumn="1" w:lastColumn="0" w:noHBand="0" w:noVBand="1"/>
      </w:tblPr>
      <w:tblGrid>
        <w:gridCol w:w="5117"/>
        <w:gridCol w:w="4855"/>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p>
        </w:tc>
        <w:tc>
          <w:tcPr>
            <w:tcW w:w="4855"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asset</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7.3%(15)</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asset</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25.9%(53)</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Neither an asset nor a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36.6%(75)</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liability</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22.4%(46)</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7.8%16)</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color w:val="000000"/>
        </w:rPr>
      </w:pPr>
    </w:p>
    <w:p w:rsidR="00DB4DEE" w:rsidRPr="00376CD5" w:rsidRDefault="00DB4DEE" w:rsidP="00DB4DEE">
      <w:pPr>
        <w:spacing w:after="0" w:line="240" w:lineRule="auto"/>
        <w:rPr>
          <w:color w:val="000000"/>
        </w:rPr>
      </w:pPr>
    </w:p>
    <w:p w:rsidR="00DB4DEE" w:rsidRPr="00376CD5" w:rsidRDefault="00DB4DEE" w:rsidP="00DB4DEE">
      <w:pPr>
        <w:spacing w:after="0" w:line="240" w:lineRule="auto"/>
        <w:rPr>
          <w:color w:val="000000"/>
        </w:rPr>
      </w:pPr>
      <w:r w:rsidRPr="00376CD5">
        <w:rPr>
          <w:color w:val="000000"/>
        </w:rPr>
        <w:lastRenderedPageBreak/>
        <w:t>Quality of workforce</w:t>
      </w:r>
    </w:p>
    <w:tbl>
      <w:tblPr>
        <w:tblStyle w:val="LightShading1"/>
        <w:tblW w:w="9972" w:type="dxa"/>
        <w:tblInd w:w="108" w:type="dxa"/>
        <w:tblLook w:val="04A0" w:firstRow="1" w:lastRow="0" w:firstColumn="1" w:lastColumn="0" w:noHBand="0" w:noVBand="1"/>
      </w:tblPr>
      <w:tblGrid>
        <w:gridCol w:w="5117"/>
        <w:gridCol w:w="4855"/>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p>
        </w:tc>
        <w:tc>
          <w:tcPr>
            <w:tcW w:w="4855"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asset</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11.5%(23)</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asset</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23.5%(47)</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Neither an asset nor a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27.5%(55)</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liability</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28.0%(56)</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9.5%(19)</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color w:val="000000"/>
        </w:rPr>
      </w:pPr>
      <w:r w:rsidRPr="00376CD5">
        <w:rPr>
          <w:color w:val="000000"/>
        </w:rPr>
        <w:t>Total state taxes on business</w:t>
      </w:r>
    </w:p>
    <w:tbl>
      <w:tblPr>
        <w:tblStyle w:val="LightShading1"/>
        <w:tblW w:w="9972" w:type="dxa"/>
        <w:tblInd w:w="108" w:type="dxa"/>
        <w:tblLook w:val="04A0" w:firstRow="1" w:lastRow="0" w:firstColumn="1" w:lastColumn="0" w:noHBand="0" w:noVBand="1"/>
      </w:tblPr>
      <w:tblGrid>
        <w:gridCol w:w="5117"/>
        <w:gridCol w:w="4855"/>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p>
        </w:tc>
        <w:tc>
          <w:tcPr>
            <w:tcW w:w="4855"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asset</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3.1%(6)</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asset</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2.1%(4)</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Neither an asset nor a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23.7%(46)</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liability</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29.4%(57)</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41.8%(81)</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color w:val="000000"/>
        </w:rPr>
      </w:pPr>
      <w:r w:rsidRPr="00376CD5">
        <w:rPr>
          <w:color w:val="000000"/>
        </w:rPr>
        <w:t>Total local taxes on business</w:t>
      </w:r>
    </w:p>
    <w:tbl>
      <w:tblPr>
        <w:tblStyle w:val="LightShading1"/>
        <w:tblW w:w="9972" w:type="dxa"/>
        <w:tblInd w:w="108" w:type="dxa"/>
        <w:tblLook w:val="04A0" w:firstRow="1" w:lastRow="0" w:firstColumn="1" w:lastColumn="0" w:noHBand="0" w:noVBand="1"/>
      </w:tblPr>
      <w:tblGrid>
        <w:gridCol w:w="5117"/>
        <w:gridCol w:w="4855"/>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p>
        </w:tc>
        <w:tc>
          <w:tcPr>
            <w:tcW w:w="4855"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asset</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2.6%(5)</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asset</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6.1%(12)</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Neither an asset nor a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31.6%(62)</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liability</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36.2%(71)</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23.5%(46)</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color w:val="000000"/>
        </w:rPr>
      </w:pPr>
      <w:r w:rsidRPr="00376CD5">
        <w:rPr>
          <w:color w:val="000000"/>
        </w:rPr>
        <w:t>Local zoning permits and regulations</w:t>
      </w:r>
    </w:p>
    <w:tbl>
      <w:tblPr>
        <w:tblStyle w:val="LightShading1"/>
        <w:tblW w:w="9972" w:type="dxa"/>
        <w:tblInd w:w="108" w:type="dxa"/>
        <w:tblLook w:val="04A0" w:firstRow="1" w:lastRow="0" w:firstColumn="1" w:lastColumn="0" w:noHBand="0" w:noVBand="1"/>
      </w:tblPr>
      <w:tblGrid>
        <w:gridCol w:w="5117"/>
        <w:gridCol w:w="4855"/>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p>
        </w:tc>
        <w:tc>
          <w:tcPr>
            <w:tcW w:w="4855"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asset</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1.5%(3)</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asset</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5.6%(11)</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Neither an asset nor a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47.2%(93)</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liability</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32.5%(64)</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13.2%(26)</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color w:val="000000"/>
        </w:rPr>
      </w:pPr>
      <w:r w:rsidRPr="00376CD5">
        <w:rPr>
          <w:color w:val="000000"/>
        </w:rPr>
        <w:t>State permits and regulations</w:t>
      </w:r>
    </w:p>
    <w:tbl>
      <w:tblPr>
        <w:tblStyle w:val="LightShading1"/>
        <w:tblW w:w="9972" w:type="dxa"/>
        <w:tblInd w:w="108" w:type="dxa"/>
        <w:tblLook w:val="04A0" w:firstRow="1" w:lastRow="0" w:firstColumn="1" w:lastColumn="0" w:noHBand="0" w:noVBand="1"/>
      </w:tblPr>
      <w:tblGrid>
        <w:gridCol w:w="5117"/>
        <w:gridCol w:w="4855"/>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p>
        </w:tc>
        <w:tc>
          <w:tcPr>
            <w:tcW w:w="4855"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asset</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1.0%(2)</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asset</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2.1%(4)</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Neither an asset nor a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43.8%(85)</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liability</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36.6%(71)</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16.5%(32)</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color w:val="000000"/>
        </w:rPr>
      </w:pPr>
      <w:r w:rsidRPr="00376CD5">
        <w:rPr>
          <w:color w:val="000000"/>
        </w:rPr>
        <w:lastRenderedPageBreak/>
        <w:t>Workers compensation processes</w:t>
      </w:r>
    </w:p>
    <w:tbl>
      <w:tblPr>
        <w:tblStyle w:val="LightShading1"/>
        <w:tblW w:w="9972" w:type="dxa"/>
        <w:tblInd w:w="108" w:type="dxa"/>
        <w:tblLook w:val="04A0" w:firstRow="1" w:lastRow="0" w:firstColumn="1" w:lastColumn="0" w:noHBand="0" w:noVBand="1"/>
      </w:tblPr>
      <w:tblGrid>
        <w:gridCol w:w="5117"/>
        <w:gridCol w:w="4855"/>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p>
        </w:tc>
        <w:tc>
          <w:tcPr>
            <w:tcW w:w="4855"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asset</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2.5%(5)</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asset</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3.0%(6)</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Neither an asset nor a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33.5%(68)</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liability</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32.0%(65)</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29.1%(59)</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color w:val="000000"/>
        </w:rPr>
      </w:pPr>
      <w:r w:rsidRPr="00376CD5">
        <w:rPr>
          <w:color w:val="000000"/>
        </w:rPr>
        <w:t>Local business climate and reputation</w:t>
      </w:r>
    </w:p>
    <w:tbl>
      <w:tblPr>
        <w:tblStyle w:val="LightShading1"/>
        <w:tblW w:w="9972" w:type="dxa"/>
        <w:tblInd w:w="108" w:type="dxa"/>
        <w:tblLook w:val="04A0" w:firstRow="1" w:lastRow="0" w:firstColumn="1" w:lastColumn="0" w:noHBand="0" w:noVBand="1"/>
      </w:tblPr>
      <w:tblGrid>
        <w:gridCol w:w="5117"/>
        <w:gridCol w:w="4855"/>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p>
        </w:tc>
        <w:tc>
          <w:tcPr>
            <w:tcW w:w="4855"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asset</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7.9%(16)</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asset</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28.1%(57)</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Neither an asset nor a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33.0%(67)</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liability</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24.1%(49)</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6.9%(14)</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color w:val="000000"/>
        </w:rPr>
      </w:pPr>
      <w:r w:rsidRPr="00376CD5">
        <w:rPr>
          <w:color w:val="000000"/>
        </w:rPr>
        <w:t>State business climate and reputation</w:t>
      </w:r>
    </w:p>
    <w:tbl>
      <w:tblPr>
        <w:tblStyle w:val="LightShading1"/>
        <w:tblW w:w="9972" w:type="dxa"/>
        <w:tblInd w:w="108" w:type="dxa"/>
        <w:tblLook w:val="04A0" w:firstRow="1" w:lastRow="0" w:firstColumn="1" w:lastColumn="0" w:noHBand="0" w:noVBand="1"/>
      </w:tblPr>
      <w:tblGrid>
        <w:gridCol w:w="5117"/>
        <w:gridCol w:w="4855"/>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p>
        </w:tc>
        <w:tc>
          <w:tcPr>
            <w:tcW w:w="4855"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asset</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5.4%(11)</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asset</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8.8%(18)</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Neither an asset nor a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21.1%(43)</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liability</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28.9%(59)</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35.8%(73)</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color w:val="000000"/>
        </w:rPr>
      </w:pPr>
      <w:r w:rsidRPr="00376CD5">
        <w:rPr>
          <w:color w:val="000000"/>
        </w:rPr>
        <w:t>Local government incentives to business</w:t>
      </w:r>
    </w:p>
    <w:tbl>
      <w:tblPr>
        <w:tblStyle w:val="LightShading1"/>
        <w:tblW w:w="9972" w:type="dxa"/>
        <w:tblInd w:w="108" w:type="dxa"/>
        <w:tblLook w:val="04A0" w:firstRow="1" w:lastRow="0" w:firstColumn="1" w:lastColumn="0" w:noHBand="0" w:noVBand="1"/>
      </w:tblPr>
      <w:tblGrid>
        <w:gridCol w:w="5117"/>
        <w:gridCol w:w="4855"/>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p>
        </w:tc>
        <w:tc>
          <w:tcPr>
            <w:tcW w:w="4855"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asset</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6.3%(12)</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asset</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20.9%(40)</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Neither an asset nor a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53.9%(103)</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liability</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13.1%(25)</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5.8%(11)</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color w:val="000000"/>
        </w:rPr>
      </w:pPr>
      <w:r w:rsidRPr="00376CD5">
        <w:rPr>
          <w:color w:val="000000"/>
        </w:rPr>
        <w:t>State government incentives to business</w:t>
      </w:r>
    </w:p>
    <w:tbl>
      <w:tblPr>
        <w:tblStyle w:val="LightShading1"/>
        <w:tblW w:w="9972" w:type="dxa"/>
        <w:tblInd w:w="108" w:type="dxa"/>
        <w:tblLook w:val="04A0" w:firstRow="1" w:lastRow="0" w:firstColumn="1" w:lastColumn="0" w:noHBand="0" w:noVBand="1"/>
      </w:tblPr>
      <w:tblGrid>
        <w:gridCol w:w="5117"/>
        <w:gridCol w:w="4855"/>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p>
        </w:tc>
        <w:tc>
          <w:tcPr>
            <w:tcW w:w="4855"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asset</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5.1%(10)</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asset</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12.3%(24)</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Neither an asset nor a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48.7%(95)</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liability</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23.1%(45)</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10.8%(21)</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color w:val="000000"/>
        </w:rPr>
      </w:pPr>
      <w:r w:rsidRPr="00376CD5">
        <w:rPr>
          <w:color w:val="000000"/>
        </w:rPr>
        <w:lastRenderedPageBreak/>
        <w:t>Crime and public safety services</w:t>
      </w:r>
    </w:p>
    <w:tbl>
      <w:tblPr>
        <w:tblStyle w:val="LightShading1"/>
        <w:tblW w:w="9972" w:type="dxa"/>
        <w:tblInd w:w="108" w:type="dxa"/>
        <w:tblLook w:val="04A0" w:firstRow="1" w:lastRow="0" w:firstColumn="1" w:lastColumn="0" w:noHBand="0" w:noVBand="1"/>
      </w:tblPr>
      <w:tblGrid>
        <w:gridCol w:w="5117"/>
        <w:gridCol w:w="4855"/>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p>
        </w:tc>
        <w:tc>
          <w:tcPr>
            <w:tcW w:w="4855"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asset</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9.9%(20)</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asset</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26.6%(54)</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Neither an asset nor a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47.3%(96)</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liability</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14.8%(30)</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1.5%(3)</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color w:val="000000"/>
        </w:rPr>
      </w:pPr>
      <w:r w:rsidRPr="00376CD5">
        <w:rPr>
          <w:color w:val="000000"/>
        </w:rPr>
        <w:t>Being located in the state capital</w:t>
      </w:r>
    </w:p>
    <w:tbl>
      <w:tblPr>
        <w:tblStyle w:val="LightShading1"/>
        <w:tblW w:w="9972" w:type="dxa"/>
        <w:tblInd w:w="108" w:type="dxa"/>
        <w:tblLook w:val="04A0" w:firstRow="1" w:lastRow="0" w:firstColumn="1" w:lastColumn="0" w:noHBand="0" w:noVBand="1"/>
      </w:tblPr>
      <w:tblGrid>
        <w:gridCol w:w="5117"/>
        <w:gridCol w:w="4855"/>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p>
        </w:tc>
        <w:tc>
          <w:tcPr>
            <w:tcW w:w="4855"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asset</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7.4%(11)</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asset</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31.5%(47)</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Neither an asset nor a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45%(67)</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liability</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14.1%(21)</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2.0%(3)</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color w:val="000000"/>
        </w:rPr>
      </w:pPr>
      <w:r w:rsidRPr="00376CD5">
        <w:rPr>
          <w:color w:val="000000"/>
        </w:rPr>
        <w:t>Cost of living and housing</w:t>
      </w:r>
    </w:p>
    <w:tbl>
      <w:tblPr>
        <w:tblStyle w:val="LightShading1"/>
        <w:tblW w:w="9972" w:type="dxa"/>
        <w:tblInd w:w="108" w:type="dxa"/>
        <w:tblLook w:val="04A0" w:firstRow="1" w:lastRow="0" w:firstColumn="1" w:lastColumn="0" w:noHBand="0" w:noVBand="1"/>
      </w:tblPr>
      <w:tblGrid>
        <w:gridCol w:w="5117"/>
        <w:gridCol w:w="4855"/>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p>
        </w:tc>
        <w:tc>
          <w:tcPr>
            <w:tcW w:w="4855"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asset</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14.4%(29)</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asset</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34.3%(69)</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Neither an asset nor a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35.3%(71)</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liability</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11.4%(23)</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4.5%(9)</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color w:val="000000"/>
        </w:rPr>
      </w:pPr>
      <w:r w:rsidRPr="00376CD5">
        <w:rPr>
          <w:color w:val="000000"/>
        </w:rPr>
        <w:t>Recreational, social, and cultural opportunities</w:t>
      </w:r>
    </w:p>
    <w:tbl>
      <w:tblPr>
        <w:tblStyle w:val="LightShading1"/>
        <w:tblW w:w="9972" w:type="dxa"/>
        <w:tblInd w:w="108" w:type="dxa"/>
        <w:tblLook w:val="04A0" w:firstRow="1" w:lastRow="0" w:firstColumn="1" w:lastColumn="0" w:noHBand="0" w:noVBand="1"/>
      </w:tblPr>
      <w:tblGrid>
        <w:gridCol w:w="5117"/>
        <w:gridCol w:w="4855"/>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p>
        </w:tc>
        <w:tc>
          <w:tcPr>
            <w:tcW w:w="4855"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asset</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5.9%(12)</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asset</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31.2%(63)</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Neither an asset nor a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47.0%(95)</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liability</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13.4%(27)</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2.5%(5)</w:t>
            </w:r>
          </w:p>
        </w:tc>
      </w:tr>
    </w:tbl>
    <w:p w:rsidR="00DB4DEE" w:rsidRPr="00376CD5" w:rsidRDefault="00DB4DEE" w:rsidP="00DB4DEE">
      <w:pPr>
        <w:spacing w:after="0" w:line="240" w:lineRule="auto"/>
        <w:rPr>
          <w:color w:val="000000"/>
        </w:rPr>
      </w:pPr>
    </w:p>
    <w:p w:rsidR="00DB4DEE" w:rsidRPr="00376CD5" w:rsidRDefault="00DB4DEE" w:rsidP="00DB4DEE">
      <w:pPr>
        <w:spacing w:after="0" w:line="240" w:lineRule="auto"/>
        <w:rPr>
          <w:color w:val="000000"/>
        </w:rPr>
      </w:pPr>
      <w:r w:rsidRPr="00376CD5">
        <w:rPr>
          <w:color w:val="000000"/>
        </w:rPr>
        <w:t>Health care facilities and quality</w:t>
      </w:r>
    </w:p>
    <w:tbl>
      <w:tblPr>
        <w:tblStyle w:val="LightShading1"/>
        <w:tblW w:w="9972" w:type="dxa"/>
        <w:tblInd w:w="108" w:type="dxa"/>
        <w:tblLook w:val="04A0" w:firstRow="1" w:lastRow="0" w:firstColumn="1" w:lastColumn="0" w:noHBand="0" w:noVBand="1"/>
      </w:tblPr>
      <w:tblGrid>
        <w:gridCol w:w="5117"/>
        <w:gridCol w:w="4855"/>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p>
        </w:tc>
        <w:tc>
          <w:tcPr>
            <w:tcW w:w="4855"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asset</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35.8%(73)</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asset</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35.8%(73)</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Neither an asset nor a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25.5%(52)</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liability</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2.5%(5)</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0.5%(1)</w:t>
            </w:r>
          </w:p>
        </w:tc>
      </w:tr>
    </w:tbl>
    <w:p w:rsidR="00DB4DEE" w:rsidRPr="00376CD5" w:rsidRDefault="00DB4DEE" w:rsidP="00DB4DEE">
      <w:pPr>
        <w:spacing w:after="0" w:line="240" w:lineRule="auto"/>
        <w:rPr>
          <w:color w:val="000000"/>
        </w:rPr>
      </w:pPr>
    </w:p>
    <w:p w:rsidR="00DB4DEE" w:rsidRPr="00376CD5" w:rsidRDefault="00DB4DEE" w:rsidP="00DB4DEE">
      <w:pPr>
        <w:spacing w:after="0" w:line="240" w:lineRule="auto"/>
        <w:rPr>
          <w:color w:val="000000"/>
        </w:rPr>
      </w:pPr>
      <w:r w:rsidRPr="00376CD5">
        <w:rPr>
          <w:color w:val="000000"/>
        </w:rPr>
        <w:lastRenderedPageBreak/>
        <w:t>Environment and climate</w:t>
      </w:r>
    </w:p>
    <w:tbl>
      <w:tblPr>
        <w:tblStyle w:val="LightShading1"/>
        <w:tblW w:w="9972" w:type="dxa"/>
        <w:tblInd w:w="108" w:type="dxa"/>
        <w:tblLook w:val="04A0" w:firstRow="1" w:lastRow="0" w:firstColumn="1" w:lastColumn="0" w:noHBand="0" w:noVBand="1"/>
      </w:tblPr>
      <w:tblGrid>
        <w:gridCol w:w="5117"/>
        <w:gridCol w:w="4855"/>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p>
        </w:tc>
        <w:tc>
          <w:tcPr>
            <w:tcW w:w="4855"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asset</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5.5%(11)</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asset</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23.4%(47)</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Neither an asset nor a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53.2%(107)</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liability</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14.9%(30)</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3.0%(6)</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color w:val="000000"/>
        </w:rPr>
      </w:pPr>
      <w:r w:rsidRPr="00376CD5">
        <w:rPr>
          <w:color w:val="000000"/>
        </w:rPr>
        <w:t>K-12 education system</w:t>
      </w:r>
    </w:p>
    <w:tbl>
      <w:tblPr>
        <w:tblStyle w:val="LightShading1"/>
        <w:tblW w:w="9972" w:type="dxa"/>
        <w:tblInd w:w="108" w:type="dxa"/>
        <w:tblLook w:val="04A0" w:firstRow="1" w:lastRow="0" w:firstColumn="1" w:lastColumn="0" w:noHBand="0" w:noVBand="1"/>
      </w:tblPr>
      <w:tblGrid>
        <w:gridCol w:w="5117"/>
        <w:gridCol w:w="4855"/>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p>
        </w:tc>
        <w:tc>
          <w:tcPr>
            <w:tcW w:w="4855"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asset</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6.0%(12)</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asset</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24.4%(49)</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Neither an asset nor a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46.3%(93)</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liability</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18.4%(37)</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5.0%(10)</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color w:val="000000"/>
        </w:rPr>
      </w:pPr>
      <w:r w:rsidRPr="00376CD5">
        <w:rPr>
          <w:color w:val="000000"/>
        </w:rPr>
        <w:t>Proximity to colleges/universities/technical schools</w:t>
      </w:r>
    </w:p>
    <w:tbl>
      <w:tblPr>
        <w:tblStyle w:val="LightShading1"/>
        <w:tblW w:w="9972" w:type="dxa"/>
        <w:tblInd w:w="108" w:type="dxa"/>
        <w:tblLook w:val="04A0" w:firstRow="1" w:lastRow="0" w:firstColumn="1" w:lastColumn="0" w:noHBand="0" w:noVBand="1"/>
      </w:tblPr>
      <w:tblGrid>
        <w:gridCol w:w="5117"/>
        <w:gridCol w:w="4855"/>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p>
        </w:tc>
        <w:tc>
          <w:tcPr>
            <w:tcW w:w="4855"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asset</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14.2%(29)</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asset</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44.6%(91)</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Neither an asset nor a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34.3%(70)</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liability</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5.4%(11)</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1.5%(3)</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color w:val="000000"/>
        </w:rPr>
      </w:pPr>
      <w:r w:rsidRPr="00376CD5">
        <w:rPr>
          <w:color w:val="000000"/>
        </w:rPr>
        <w:t>Utilities- access to/cost of (electricity, natural gas, water supply, waste disposal)</w:t>
      </w:r>
    </w:p>
    <w:tbl>
      <w:tblPr>
        <w:tblStyle w:val="LightShading1"/>
        <w:tblW w:w="9972" w:type="dxa"/>
        <w:tblInd w:w="108" w:type="dxa"/>
        <w:tblLook w:val="04A0" w:firstRow="1" w:lastRow="0" w:firstColumn="1" w:lastColumn="0" w:noHBand="0" w:noVBand="1"/>
      </w:tblPr>
      <w:tblGrid>
        <w:gridCol w:w="5117"/>
        <w:gridCol w:w="4855"/>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p>
        </w:tc>
        <w:tc>
          <w:tcPr>
            <w:tcW w:w="4855"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asset</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8.0%(16)</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asset</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31.0%(62)</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Neither an asset nor a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36.0%(72)</w:t>
            </w:r>
          </w:p>
        </w:tc>
      </w:tr>
      <w:tr w:rsidR="00DB4DEE" w:rsidRPr="00376CD5" w:rsidTr="00545DCB">
        <w:trPr>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Small liability</w:t>
            </w:r>
          </w:p>
        </w:tc>
        <w:tc>
          <w:tcPr>
            <w:tcW w:w="4855"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20.0%(40)</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rsidR="00DB4DEE" w:rsidRPr="00376CD5" w:rsidRDefault="00DB4DEE" w:rsidP="00545DCB">
            <w:pPr>
              <w:rPr>
                <w:rFonts w:eastAsia="Calibri" w:cs="Times New Roman"/>
                <w:b w:val="0"/>
              </w:rPr>
            </w:pPr>
            <w:r w:rsidRPr="00376CD5">
              <w:rPr>
                <w:rFonts w:eastAsia="Calibri" w:cs="Times New Roman"/>
                <w:b w:val="0"/>
              </w:rPr>
              <w:t>Big liability</w:t>
            </w:r>
          </w:p>
        </w:tc>
        <w:tc>
          <w:tcPr>
            <w:tcW w:w="4855"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5.0%(10)</w:t>
            </w:r>
          </w:p>
        </w:tc>
      </w:tr>
    </w:tbl>
    <w:p w:rsidR="00DB4DEE" w:rsidRPr="00376CD5" w:rsidRDefault="00DB4DEE" w:rsidP="00DB4DEE">
      <w:pPr>
        <w:spacing w:after="0" w:line="240" w:lineRule="auto"/>
        <w:rPr>
          <w:rFonts w:eastAsia="Calibri" w:cs="Times New Roman"/>
        </w:rPr>
      </w:pPr>
    </w:p>
    <w:p w:rsidR="00DB4DEE" w:rsidRPr="00376CD5" w:rsidRDefault="00DB4DEE" w:rsidP="00DB4DEE">
      <w:pPr>
        <w:rPr>
          <w:rFonts w:eastAsia="Calibri" w:cs="Times New Roman"/>
        </w:rPr>
      </w:pPr>
      <w:r w:rsidRPr="00376CD5">
        <w:rPr>
          <w:rFonts w:eastAsia="Calibri" w:cs="Times New Roman"/>
        </w:rPr>
        <w:br w:type="page"/>
      </w:r>
    </w:p>
    <w:p w:rsidR="00DB4DEE" w:rsidRPr="00376CD5" w:rsidRDefault="00DB4DEE" w:rsidP="00DB4DEE">
      <w:pPr>
        <w:spacing w:after="0" w:line="240" w:lineRule="auto"/>
        <w:rPr>
          <w:rFonts w:eastAsia="Calibri" w:cs="Times New Roman"/>
        </w:rPr>
      </w:pPr>
      <w:r w:rsidRPr="00376CD5">
        <w:rPr>
          <w:rFonts w:eastAsia="Calibri" w:cs="Times New Roman"/>
        </w:rPr>
        <w:lastRenderedPageBreak/>
        <w:t>Finally, we are interested in how, if at all, the Illinois State Fair in Springfield impacts your firm?</w:t>
      </w:r>
    </w:p>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rFonts w:eastAsia="Calibri" w:cs="Times New Roman"/>
        </w:rPr>
      </w:pPr>
      <w:r w:rsidRPr="00376CD5">
        <w:rPr>
          <w:rFonts w:eastAsia="Calibri" w:cs="Times New Roman"/>
        </w:rPr>
        <w:t>Would you say that the Illinois State Fair has no economic impact, an economic impact of less than $15,000, an economic impact between $15,000 and $30,000, an economic impact between $30,001 and $50,000, or an economic impact of more than $50,000 on your own business/organization?</w:t>
      </w:r>
    </w:p>
    <w:tbl>
      <w:tblPr>
        <w:tblStyle w:val="LightShading1"/>
        <w:tblW w:w="9972" w:type="dxa"/>
        <w:tblInd w:w="108" w:type="dxa"/>
        <w:tblLook w:val="04A0" w:firstRow="1" w:lastRow="0" w:firstColumn="1" w:lastColumn="0" w:noHBand="0" w:noVBand="1"/>
      </w:tblPr>
      <w:tblGrid>
        <w:gridCol w:w="5132"/>
        <w:gridCol w:w="4840"/>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32" w:type="dxa"/>
          </w:tcPr>
          <w:p w:rsidR="00DB4DEE" w:rsidRPr="00376CD5" w:rsidRDefault="00DB4DEE" w:rsidP="00545DCB">
            <w:pPr>
              <w:rPr>
                <w:rFonts w:eastAsia="Calibri" w:cs="Times New Roman"/>
                <w:b w:val="0"/>
              </w:rPr>
            </w:pPr>
          </w:p>
        </w:tc>
        <w:tc>
          <w:tcPr>
            <w:tcW w:w="4840"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5132" w:type="dxa"/>
          </w:tcPr>
          <w:p w:rsidR="00DB4DEE" w:rsidRPr="00376CD5" w:rsidRDefault="00DB4DEE" w:rsidP="00545DCB">
            <w:pPr>
              <w:rPr>
                <w:rFonts w:eastAsia="Calibri" w:cs="Times New Roman"/>
                <w:b w:val="0"/>
              </w:rPr>
            </w:pPr>
            <w:r w:rsidRPr="00376CD5">
              <w:rPr>
                <w:rFonts w:eastAsia="Calibri" w:cs="Times New Roman"/>
                <w:b w:val="0"/>
              </w:rPr>
              <w:t>No economic impact</w:t>
            </w:r>
          </w:p>
        </w:tc>
        <w:tc>
          <w:tcPr>
            <w:tcW w:w="484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77.8%(158)</w:t>
            </w:r>
          </w:p>
        </w:tc>
      </w:tr>
      <w:tr w:rsidR="00DB4DEE" w:rsidRPr="00376CD5" w:rsidTr="00545DCB">
        <w:trPr>
          <w:trHeight w:val="315"/>
        </w:trPr>
        <w:tc>
          <w:tcPr>
            <w:cnfStyle w:val="001000000000" w:firstRow="0" w:lastRow="0" w:firstColumn="1" w:lastColumn="0" w:oddVBand="0" w:evenVBand="0" w:oddHBand="0" w:evenHBand="0" w:firstRowFirstColumn="0" w:firstRowLastColumn="0" w:lastRowFirstColumn="0" w:lastRowLastColumn="0"/>
            <w:tcW w:w="5132" w:type="dxa"/>
          </w:tcPr>
          <w:p w:rsidR="00DB4DEE" w:rsidRPr="00376CD5" w:rsidRDefault="00DB4DEE" w:rsidP="00545DCB">
            <w:pPr>
              <w:rPr>
                <w:rFonts w:eastAsia="Calibri" w:cs="Times New Roman"/>
                <w:b w:val="0"/>
              </w:rPr>
            </w:pPr>
            <w:r w:rsidRPr="00376CD5">
              <w:rPr>
                <w:rFonts w:eastAsia="Calibri" w:cs="Times New Roman"/>
                <w:b w:val="0"/>
              </w:rPr>
              <w:t>Less than $15,000</w:t>
            </w:r>
          </w:p>
        </w:tc>
        <w:tc>
          <w:tcPr>
            <w:tcW w:w="4840"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13.8%(28)</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32" w:type="dxa"/>
          </w:tcPr>
          <w:p w:rsidR="00DB4DEE" w:rsidRPr="00376CD5" w:rsidRDefault="00DB4DEE" w:rsidP="00545DCB">
            <w:pPr>
              <w:rPr>
                <w:rFonts w:eastAsia="Calibri" w:cs="Times New Roman"/>
                <w:b w:val="0"/>
              </w:rPr>
            </w:pPr>
            <w:r w:rsidRPr="00376CD5">
              <w:rPr>
                <w:rFonts w:eastAsia="Calibri" w:cs="Times New Roman"/>
                <w:b w:val="0"/>
              </w:rPr>
              <w:t>Between $15,001 and $30,000</w:t>
            </w:r>
          </w:p>
        </w:tc>
        <w:tc>
          <w:tcPr>
            <w:tcW w:w="484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4.9%(10)</w:t>
            </w:r>
          </w:p>
        </w:tc>
      </w:tr>
      <w:tr w:rsidR="00DB4DEE" w:rsidRPr="00376CD5" w:rsidTr="00545DCB">
        <w:trPr>
          <w:trHeight w:val="315"/>
        </w:trPr>
        <w:tc>
          <w:tcPr>
            <w:cnfStyle w:val="001000000000" w:firstRow="0" w:lastRow="0" w:firstColumn="1" w:lastColumn="0" w:oddVBand="0" w:evenVBand="0" w:oddHBand="0" w:evenHBand="0" w:firstRowFirstColumn="0" w:firstRowLastColumn="0" w:lastRowFirstColumn="0" w:lastRowLastColumn="0"/>
            <w:tcW w:w="5132" w:type="dxa"/>
          </w:tcPr>
          <w:p w:rsidR="00DB4DEE" w:rsidRPr="00376CD5" w:rsidRDefault="00DB4DEE" w:rsidP="00545DCB">
            <w:pPr>
              <w:rPr>
                <w:rFonts w:eastAsia="Calibri" w:cs="Times New Roman"/>
                <w:b w:val="0"/>
              </w:rPr>
            </w:pPr>
            <w:r w:rsidRPr="00376CD5">
              <w:rPr>
                <w:rFonts w:eastAsia="Calibri" w:cs="Times New Roman"/>
                <w:b w:val="0"/>
              </w:rPr>
              <w:t>Between $30,001 and $50,000</w:t>
            </w:r>
          </w:p>
        </w:tc>
        <w:tc>
          <w:tcPr>
            <w:tcW w:w="4840"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1.5%(3)</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32" w:type="dxa"/>
          </w:tcPr>
          <w:p w:rsidR="00DB4DEE" w:rsidRPr="00376CD5" w:rsidRDefault="00DB4DEE" w:rsidP="00545DCB">
            <w:pPr>
              <w:rPr>
                <w:rFonts w:eastAsia="Calibri" w:cs="Times New Roman"/>
                <w:b w:val="0"/>
              </w:rPr>
            </w:pPr>
            <w:r w:rsidRPr="00376CD5">
              <w:rPr>
                <w:rFonts w:eastAsia="Calibri" w:cs="Times New Roman"/>
                <w:b w:val="0"/>
              </w:rPr>
              <w:t>More than $50,000</w:t>
            </w:r>
          </w:p>
        </w:tc>
        <w:tc>
          <w:tcPr>
            <w:tcW w:w="484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1.0%(2)</w:t>
            </w:r>
          </w:p>
        </w:tc>
      </w:tr>
    </w:tbl>
    <w:p w:rsidR="00DB4DEE" w:rsidRPr="00376CD5" w:rsidRDefault="00DB4DEE" w:rsidP="00DB4DEE">
      <w:pPr>
        <w:spacing w:after="0" w:line="240" w:lineRule="auto"/>
        <w:rPr>
          <w:rFonts w:eastAsia="Calibri" w:cs="Times New Roman"/>
        </w:rPr>
      </w:pPr>
    </w:p>
    <w:p w:rsidR="00DB4DEE" w:rsidRPr="00376CD5" w:rsidRDefault="00DB4DEE" w:rsidP="00DB4DEE">
      <w:pPr>
        <w:spacing w:after="0" w:line="240" w:lineRule="auto"/>
        <w:rPr>
          <w:rFonts w:eastAsia="Calibri" w:cs="Times New Roman"/>
        </w:rPr>
      </w:pPr>
      <w:r w:rsidRPr="00376CD5">
        <w:rPr>
          <w:rFonts w:eastAsia="Calibri" w:cs="Times New Roman"/>
        </w:rPr>
        <w:t>Please select whether your organization experiences any of the following business operations changes due to the Illinois State Fair?</w:t>
      </w:r>
    </w:p>
    <w:tbl>
      <w:tblPr>
        <w:tblStyle w:val="LightShading1"/>
        <w:tblW w:w="9972" w:type="dxa"/>
        <w:tblInd w:w="108" w:type="dxa"/>
        <w:tblLook w:val="04A0" w:firstRow="1" w:lastRow="0" w:firstColumn="1" w:lastColumn="0" w:noHBand="0" w:noVBand="1"/>
      </w:tblPr>
      <w:tblGrid>
        <w:gridCol w:w="5490"/>
        <w:gridCol w:w="4482"/>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490" w:type="dxa"/>
          </w:tcPr>
          <w:p w:rsidR="00DB4DEE" w:rsidRPr="00376CD5" w:rsidRDefault="00DB4DEE" w:rsidP="00545DCB">
            <w:pPr>
              <w:rPr>
                <w:rFonts w:eastAsia="Calibri" w:cs="Times New Roman"/>
                <w:b w:val="0"/>
              </w:rPr>
            </w:pPr>
          </w:p>
        </w:tc>
        <w:tc>
          <w:tcPr>
            <w:tcW w:w="4482"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490" w:type="dxa"/>
          </w:tcPr>
          <w:p w:rsidR="00DB4DEE" w:rsidRPr="00376CD5" w:rsidRDefault="00DB4DEE" w:rsidP="00545DCB">
            <w:pPr>
              <w:rPr>
                <w:rFonts w:eastAsia="Calibri" w:cs="Times New Roman"/>
                <w:b w:val="0"/>
              </w:rPr>
            </w:pPr>
            <w:r w:rsidRPr="00376CD5">
              <w:rPr>
                <w:rFonts w:eastAsia="Calibri" w:cs="Times New Roman"/>
                <w:b w:val="0"/>
              </w:rPr>
              <w:t>Increased number of employees (including part-time workers)</w:t>
            </w:r>
          </w:p>
        </w:tc>
        <w:tc>
          <w:tcPr>
            <w:tcW w:w="4482"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1.0%(2)</w:t>
            </w:r>
          </w:p>
        </w:tc>
      </w:tr>
      <w:tr w:rsidR="00DB4DEE" w:rsidRPr="00376CD5" w:rsidTr="00545DCB">
        <w:trPr>
          <w:trHeight w:val="319"/>
        </w:trPr>
        <w:tc>
          <w:tcPr>
            <w:cnfStyle w:val="001000000000" w:firstRow="0" w:lastRow="0" w:firstColumn="1" w:lastColumn="0" w:oddVBand="0" w:evenVBand="0" w:oddHBand="0" w:evenHBand="0" w:firstRowFirstColumn="0" w:firstRowLastColumn="0" w:lastRowFirstColumn="0" w:lastRowLastColumn="0"/>
            <w:tcW w:w="5490" w:type="dxa"/>
          </w:tcPr>
          <w:p w:rsidR="00DB4DEE" w:rsidRPr="00376CD5" w:rsidRDefault="00DB4DEE" w:rsidP="00545DCB">
            <w:pPr>
              <w:rPr>
                <w:rFonts w:eastAsia="Calibri" w:cs="Times New Roman"/>
                <w:b w:val="0"/>
              </w:rPr>
            </w:pPr>
            <w:r w:rsidRPr="00376CD5">
              <w:rPr>
                <w:rFonts w:eastAsia="Calibri" w:cs="Times New Roman"/>
                <w:b w:val="0"/>
              </w:rPr>
              <w:t>Expanded hours of operation</w:t>
            </w:r>
          </w:p>
        </w:tc>
        <w:tc>
          <w:tcPr>
            <w:tcW w:w="4482"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2.4%(5)</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490" w:type="dxa"/>
          </w:tcPr>
          <w:p w:rsidR="00DB4DEE" w:rsidRPr="00376CD5" w:rsidRDefault="00DB4DEE" w:rsidP="00545DCB">
            <w:pPr>
              <w:rPr>
                <w:rFonts w:eastAsia="Calibri" w:cs="Times New Roman"/>
                <w:b w:val="0"/>
              </w:rPr>
            </w:pPr>
            <w:r w:rsidRPr="00376CD5">
              <w:rPr>
                <w:rFonts w:eastAsia="Calibri" w:cs="Times New Roman"/>
                <w:b w:val="0"/>
              </w:rPr>
              <w:t>Increased gross revenue/sales</w:t>
            </w:r>
          </w:p>
        </w:tc>
        <w:tc>
          <w:tcPr>
            <w:tcW w:w="4482"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7.7%(16)</w:t>
            </w:r>
          </w:p>
        </w:tc>
      </w:tr>
    </w:tbl>
    <w:p w:rsidR="00DB4DEE" w:rsidRPr="00376CD5" w:rsidRDefault="00DB4DEE" w:rsidP="00DB4DEE">
      <w:pPr>
        <w:spacing w:after="0" w:line="240" w:lineRule="auto"/>
        <w:rPr>
          <w:rFonts w:eastAsia="Calibri" w:cs="Times New Roman"/>
        </w:rPr>
      </w:pPr>
    </w:p>
    <w:p w:rsidR="00DB4DEE" w:rsidRPr="00376CD5" w:rsidRDefault="00DB4DEE" w:rsidP="00DB4DEE">
      <w:pPr>
        <w:rPr>
          <w:color w:val="000000"/>
          <w:u w:val="single"/>
        </w:rPr>
      </w:pPr>
      <w:r w:rsidRPr="00376CD5">
        <w:rPr>
          <w:color w:val="000000"/>
          <w:u w:val="single"/>
        </w:rPr>
        <w:br w:type="page"/>
      </w:r>
    </w:p>
    <w:p w:rsidR="00DB4DEE" w:rsidRPr="00376CD5" w:rsidRDefault="00DB4DEE" w:rsidP="00DB4DEE">
      <w:pPr>
        <w:spacing w:after="0" w:line="240" w:lineRule="auto"/>
        <w:rPr>
          <w:color w:val="000000"/>
          <w:u w:val="single"/>
        </w:rPr>
      </w:pPr>
      <w:r w:rsidRPr="00376CD5">
        <w:rPr>
          <w:color w:val="000000"/>
          <w:u w:val="single"/>
        </w:rPr>
        <w:lastRenderedPageBreak/>
        <w:t>Section 5: Demographic Information</w:t>
      </w:r>
    </w:p>
    <w:p w:rsidR="00DB4DEE" w:rsidRPr="00376CD5" w:rsidRDefault="00DB4DEE" w:rsidP="00DB4DEE">
      <w:pPr>
        <w:spacing w:after="0" w:line="240" w:lineRule="auto"/>
        <w:rPr>
          <w:i/>
          <w:color w:val="000000"/>
        </w:rPr>
      </w:pPr>
      <w:r w:rsidRPr="00376CD5">
        <w:rPr>
          <w:i/>
          <w:color w:val="000000"/>
        </w:rPr>
        <w:t>This last section is used for analysis purposes only and is not intended to identify respondents.</w:t>
      </w:r>
    </w:p>
    <w:p w:rsidR="00DB4DEE" w:rsidRPr="00376CD5" w:rsidRDefault="00DB4DEE" w:rsidP="00DB4DEE">
      <w:pPr>
        <w:spacing w:after="0" w:line="240" w:lineRule="auto"/>
        <w:rPr>
          <w:color w:val="000000"/>
        </w:rPr>
      </w:pPr>
    </w:p>
    <w:p w:rsidR="00DB4DEE" w:rsidRPr="00376CD5" w:rsidRDefault="00DB4DEE" w:rsidP="00DB4DEE">
      <w:pPr>
        <w:spacing w:after="0" w:line="240" w:lineRule="auto"/>
        <w:rPr>
          <w:rFonts w:eastAsia="Calibri" w:cs="Times New Roman"/>
        </w:rPr>
      </w:pPr>
      <w:r w:rsidRPr="00376CD5">
        <w:rPr>
          <w:color w:val="000000"/>
        </w:rPr>
        <w:t>Are you in the private sector, non-profit sector, or public sector?</w:t>
      </w:r>
    </w:p>
    <w:tbl>
      <w:tblPr>
        <w:tblStyle w:val="LightShading1"/>
        <w:tblW w:w="9972" w:type="dxa"/>
        <w:tblInd w:w="108" w:type="dxa"/>
        <w:tblLook w:val="04A0" w:firstRow="1" w:lastRow="0" w:firstColumn="1" w:lastColumn="0" w:noHBand="0" w:noVBand="1"/>
      </w:tblPr>
      <w:tblGrid>
        <w:gridCol w:w="5154"/>
        <w:gridCol w:w="4818"/>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154" w:type="dxa"/>
          </w:tcPr>
          <w:p w:rsidR="00DB4DEE" w:rsidRPr="00376CD5" w:rsidRDefault="00DB4DEE" w:rsidP="00545DCB">
            <w:pPr>
              <w:rPr>
                <w:rFonts w:eastAsia="Calibri" w:cs="Times New Roman"/>
                <w:b w:val="0"/>
              </w:rPr>
            </w:pPr>
          </w:p>
        </w:tc>
        <w:tc>
          <w:tcPr>
            <w:tcW w:w="4818"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5154" w:type="dxa"/>
          </w:tcPr>
          <w:p w:rsidR="00DB4DEE" w:rsidRPr="00376CD5" w:rsidRDefault="00DB4DEE" w:rsidP="00545DCB">
            <w:pPr>
              <w:rPr>
                <w:rFonts w:eastAsia="Calibri" w:cs="Times New Roman"/>
                <w:b w:val="0"/>
              </w:rPr>
            </w:pPr>
            <w:r w:rsidRPr="00376CD5">
              <w:rPr>
                <w:rFonts w:eastAsia="Calibri" w:cs="Times New Roman"/>
                <w:b w:val="0"/>
              </w:rPr>
              <w:t>Private sector (for profit)</w:t>
            </w:r>
          </w:p>
        </w:tc>
        <w:tc>
          <w:tcPr>
            <w:tcW w:w="4818"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65.5%(133)</w:t>
            </w:r>
          </w:p>
        </w:tc>
      </w:tr>
      <w:tr w:rsidR="00DB4DEE" w:rsidRPr="00376CD5" w:rsidTr="00545DCB">
        <w:trPr>
          <w:trHeight w:val="323"/>
        </w:trPr>
        <w:tc>
          <w:tcPr>
            <w:cnfStyle w:val="001000000000" w:firstRow="0" w:lastRow="0" w:firstColumn="1" w:lastColumn="0" w:oddVBand="0" w:evenVBand="0" w:oddHBand="0" w:evenHBand="0" w:firstRowFirstColumn="0" w:firstRowLastColumn="0" w:lastRowFirstColumn="0" w:lastRowLastColumn="0"/>
            <w:tcW w:w="5154" w:type="dxa"/>
          </w:tcPr>
          <w:p w:rsidR="00DB4DEE" w:rsidRPr="00376CD5" w:rsidRDefault="00DB4DEE" w:rsidP="00545DCB">
            <w:pPr>
              <w:rPr>
                <w:rFonts w:eastAsia="Calibri" w:cs="Times New Roman"/>
                <w:b w:val="0"/>
              </w:rPr>
            </w:pPr>
            <w:r w:rsidRPr="00376CD5">
              <w:rPr>
                <w:rFonts w:eastAsia="Calibri" w:cs="Times New Roman"/>
                <w:b w:val="0"/>
              </w:rPr>
              <w:t>Non-profit sector</w:t>
            </w:r>
          </w:p>
        </w:tc>
        <w:tc>
          <w:tcPr>
            <w:tcW w:w="4818"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17.2%(35)</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154" w:type="dxa"/>
          </w:tcPr>
          <w:p w:rsidR="00DB4DEE" w:rsidRPr="00376CD5" w:rsidRDefault="00DB4DEE" w:rsidP="00545DCB">
            <w:pPr>
              <w:rPr>
                <w:rFonts w:eastAsia="Calibri" w:cs="Times New Roman"/>
                <w:b w:val="0"/>
              </w:rPr>
            </w:pPr>
            <w:r w:rsidRPr="00376CD5">
              <w:rPr>
                <w:rFonts w:eastAsia="Calibri" w:cs="Times New Roman"/>
                <w:b w:val="0"/>
              </w:rPr>
              <w:t>Public sector (government)</w:t>
            </w:r>
          </w:p>
        </w:tc>
        <w:tc>
          <w:tcPr>
            <w:tcW w:w="4818"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17.2%(35)</w:t>
            </w:r>
          </w:p>
        </w:tc>
      </w:tr>
    </w:tbl>
    <w:p w:rsidR="00DB4DEE" w:rsidRPr="00376CD5" w:rsidRDefault="00DB4DEE" w:rsidP="00DB4DEE">
      <w:pPr>
        <w:spacing w:after="0" w:line="240" w:lineRule="auto"/>
        <w:rPr>
          <w:color w:val="000000"/>
        </w:rPr>
      </w:pPr>
    </w:p>
    <w:p w:rsidR="00DB4DEE" w:rsidRPr="00376CD5" w:rsidRDefault="00DB4DEE" w:rsidP="00DB4DEE">
      <w:pPr>
        <w:spacing w:after="0"/>
        <w:rPr>
          <w:rFonts w:eastAsia="Calibri" w:cs="Times New Roman"/>
        </w:rPr>
      </w:pPr>
      <w:r w:rsidRPr="00376CD5">
        <w:rPr>
          <w:color w:val="000000"/>
        </w:rPr>
        <w:t xml:space="preserve">How many years has your organization been operating in your current </w:t>
      </w:r>
      <w:proofErr w:type="gramStart"/>
      <w:r w:rsidRPr="00376CD5">
        <w:rPr>
          <w:color w:val="000000"/>
        </w:rPr>
        <w:t>location:</w:t>
      </w:r>
      <w:proofErr w:type="gramEnd"/>
    </w:p>
    <w:tbl>
      <w:tblPr>
        <w:tblStyle w:val="LightShading1"/>
        <w:tblW w:w="9972" w:type="dxa"/>
        <w:tblInd w:w="108" w:type="dxa"/>
        <w:tblLook w:val="04A0" w:firstRow="1" w:lastRow="0" w:firstColumn="1" w:lastColumn="0" w:noHBand="0" w:noVBand="1"/>
      </w:tblPr>
      <w:tblGrid>
        <w:gridCol w:w="5382"/>
        <w:gridCol w:w="4590"/>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382" w:type="dxa"/>
          </w:tcPr>
          <w:p w:rsidR="00DB4DEE" w:rsidRPr="00376CD5" w:rsidRDefault="00DB4DEE" w:rsidP="00545DCB">
            <w:pPr>
              <w:rPr>
                <w:rFonts w:eastAsia="Calibri" w:cs="Times New Roman"/>
                <w:b w:val="0"/>
              </w:rPr>
            </w:pPr>
          </w:p>
        </w:tc>
        <w:tc>
          <w:tcPr>
            <w:tcW w:w="4590"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382" w:type="dxa"/>
          </w:tcPr>
          <w:p w:rsidR="00DB4DEE" w:rsidRPr="00376CD5" w:rsidRDefault="00DB4DEE" w:rsidP="00545DCB">
            <w:pPr>
              <w:rPr>
                <w:rFonts w:eastAsia="Calibri" w:cs="Times New Roman"/>
                <w:b w:val="0"/>
              </w:rPr>
            </w:pPr>
            <w:r w:rsidRPr="00376CD5">
              <w:rPr>
                <w:rFonts w:eastAsia="Calibri" w:cs="Times New Roman"/>
                <w:b w:val="0"/>
              </w:rPr>
              <w:t>2 years or less</w:t>
            </w:r>
          </w:p>
        </w:tc>
        <w:tc>
          <w:tcPr>
            <w:tcW w:w="4590" w:type="dxa"/>
          </w:tcPr>
          <w:p w:rsidR="00DB4DEE" w:rsidRPr="00376CD5" w:rsidRDefault="00DB4DEE" w:rsidP="00545DCB">
            <w:pPr>
              <w:tabs>
                <w:tab w:val="left" w:pos="557"/>
              </w:tabs>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2.5%(5)</w:t>
            </w:r>
          </w:p>
        </w:tc>
      </w:tr>
      <w:tr w:rsidR="00DB4DEE" w:rsidRPr="00376CD5" w:rsidTr="00545DCB">
        <w:trPr>
          <w:trHeight w:val="319"/>
        </w:trPr>
        <w:tc>
          <w:tcPr>
            <w:cnfStyle w:val="001000000000" w:firstRow="0" w:lastRow="0" w:firstColumn="1" w:lastColumn="0" w:oddVBand="0" w:evenVBand="0" w:oddHBand="0" w:evenHBand="0" w:firstRowFirstColumn="0" w:firstRowLastColumn="0" w:lastRowFirstColumn="0" w:lastRowLastColumn="0"/>
            <w:tcW w:w="5382" w:type="dxa"/>
          </w:tcPr>
          <w:p w:rsidR="00DB4DEE" w:rsidRPr="00376CD5" w:rsidRDefault="00DB4DEE" w:rsidP="00545DCB">
            <w:pPr>
              <w:rPr>
                <w:rFonts w:eastAsia="Calibri" w:cs="Times New Roman"/>
                <w:b w:val="0"/>
              </w:rPr>
            </w:pPr>
            <w:r w:rsidRPr="00376CD5">
              <w:rPr>
                <w:rFonts w:eastAsia="Calibri" w:cs="Times New Roman"/>
                <w:b w:val="0"/>
              </w:rPr>
              <w:t>3-5 years</w:t>
            </w:r>
          </w:p>
        </w:tc>
        <w:tc>
          <w:tcPr>
            <w:tcW w:w="4590" w:type="dxa"/>
          </w:tcPr>
          <w:p w:rsidR="00DB4DEE" w:rsidRPr="00376CD5" w:rsidRDefault="00DB4DEE" w:rsidP="00545DCB">
            <w:pPr>
              <w:tabs>
                <w:tab w:val="left" w:pos="557"/>
              </w:tabs>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2.5%(5)</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382" w:type="dxa"/>
          </w:tcPr>
          <w:p w:rsidR="00DB4DEE" w:rsidRPr="00376CD5" w:rsidRDefault="00DB4DEE" w:rsidP="00545DCB">
            <w:pPr>
              <w:rPr>
                <w:rFonts w:eastAsia="Calibri" w:cs="Times New Roman"/>
                <w:b w:val="0"/>
              </w:rPr>
            </w:pPr>
            <w:r w:rsidRPr="00376CD5">
              <w:rPr>
                <w:rFonts w:eastAsia="Calibri" w:cs="Times New Roman"/>
                <w:b w:val="0"/>
              </w:rPr>
              <w:t>6-10 years</w:t>
            </w:r>
          </w:p>
        </w:tc>
        <w:tc>
          <w:tcPr>
            <w:tcW w:w="4590" w:type="dxa"/>
          </w:tcPr>
          <w:p w:rsidR="00DB4DEE" w:rsidRPr="00376CD5" w:rsidRDefault="00DB4DEE" w:rsidP="00545DCB">
            <w:pPr>
              <w:tabs>
                <w:tab w:val="left" w:pos="557"/>
              </w:tabs>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9.6%(19)</w:t>
            </w:r>
          </w:p>
        </w:tc>
      </w:tr>
      <w:tr w:rsidR="00DB4DEE" w:rsidRPr="00376CD5" w:rsidTr="00545DCB">
        <w:trPr>
          <w:trHeight w:val="319"/>
        </w:trPr>
        <w:tc>
          <w:tcPr>
            <w:cnfStyle w:val="001000000000" w:firstRow="0" w:lastRow="0" w:firstColumn="1" w:lastColumn="0" w:oddVBand="0" w:evenVBand="0" w:oddHBand="0" w:evenHBand="0" w:firstRowFirstColumn="0" w:firstRowLastColumn="0" w:lastRowFirstColumn="0" w:lastRowLastColumn="0"/>
            <w:tcW w:w="5382" w:type="dxa"/>
          </w:tcPr>
          <w:p w:rsidR="00DB4DEE" w:rsidRPr="00376CD5" w:rsidRDefault="00DB4DEE" w:rsidP="00545DCB">
            <w:pPr>
              <w:rPr>
                <w:rFonts w:eastAsia="Calibri" w:cs="Times New Roman"/>
                <w:b w:val="0"/>
              </w:rPr>
            </w:pPr>
            <w:r w:rsidRPr="00376CD5">
              <w:rPr>
                <w:rFonts w:eastAsia="Calibri" w:cs="Times New Roman"/>
                <w:b w:val="0"/>
              </w:rPr>
              <w:t>11-20 years</w:t>
            </w:r>
          </w:p>
        </w:tc>
        <w:tc>
          <w:tcPr>
            <w:tcW w:w="4590" w:type="dxa"/>
          </w:tcPr>
          <w:p w:rsidR="00DB4DEE" w:rsidRPr="00376CD5" w:rsidRDefault="00DB4DEE" w:rsidP="00545DCB">
            <w:pPr>
              <w:tabs>
                <w:tab w:val="left" w:pos="557"/>
              </w:tabs>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28.4%(56)</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382" w:type="dxa"/>
          </w:tcPr>
          <w:p w:rsidR="00DB4DEE" w:rsidRPr="00376CD5" w:rsidRDefault="00DB4DEE" w:rsidP="00545DCB">
            <w:pPr>
              <w:rPr>
                <w:rFonts w:eastAsia="Calibri" w:cs="Times New Roman"/>
                <w:b w:val="0"/>
              </w:rPr>
            </w:pPr>
            <w:r w:rsidRPr="00376CD5">
              <w:rPr>
                <w:rFonts w:eastAsia="Calibri" w:cs="Times New Roman"/>
                <w:b w:val="0"/>
              </w:rPr>
              <w:t>21-30 years</w:t>
            </w:r>
          </w:p>
        </w:tc>
        <w:tc>
          <w:tcPr>
            <w:tcW w:w="459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18.8%(37)</w:t>
            </w:r>
          </w:p>
        </w:tc>
      </w:tr>
      <w:tr w:rsidR="00DB4DEE" w:rsidRPr="00376CD5" w:rsidTr="00545DCB">
        <w:trPr>
          <w:trHeight w:val="319"/>
        </w:trPr>
        <w:tc>
          <w:tcPr>
            <w:cnfStyle w:val="001000000000" w:firstRow="0" w:lastRow="0" w:firstColumn="1" w:lastColumn="0" w:oddVBand="0" w:evenVBand="0" w:oddHBand="0" w:evenHBand="0" w:firstRowFirstColumn="0" w:firstRowLastColumn="0" w:lastRowFirstColumn="0" w:lastRowLastColumn="0"/>
            <w:tcW w:w="5382" w:type="dxa"/>
          </w:tcPr>
          <w:p w:rsidR="00DB4DEE" w:rsidRPr="00376CD5" w:rsidRDefault="00DB4DEE" w:rsidP="00545DCB">
            <w:pPr>
              <w:rPr>
                <w:rFonts w:eastAsia="Calibri" w:cs="Times New Roman"/>
                <w:b w:val="0"/>
              </w:rPr>
            </w:pPr>
            <w:r w:rsidRPr="00376CD5">
              <w:rPr>
                <w:rFonts w:eastAsia="Calibri" w:cs="Times New Roman"/>
                <w:b w:val="0"/>
              </w:rPr>
              <w:t>31-40 years</w:t>
            </w:r>
          </w:p>
        </w:tc>
        <w:tc>
          <w:tcPr>
            <w:tcW w:w="4590"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9.6%(19)</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382" w:type="dxa"/>
          </w:tcPr>
          <w:p w:rsidR="00DB4DEE" w:rsidRPr="00376CD5" w:rsidRDefault="00DB4DEE" w:rsidP="00545DCB">
            <w:pPr>
              <w:rPr>
                <w:rFonts w:eastAsia="Calibri" w:cs="Times New Roman"/>
                <w:b w:val="0"/>
              </w:rPr>
            </w:pPr>
            <w:r w:rsidRPr="00376CD5">
              <w:rPr>
                <w:rFonts w:eastAsia="Calibri" w:cs="Times New Roman"/>
                <w:b w:val="0"/>
              </w:rPr>
              <w:t>41- 50 years</w:t>
            </w:r>
          </w:p>
        </w:tc>
        <w:tc>
          <w:tcPr>
            <w:tcW w:w="459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9.6%(19)</w:t>
            </w:r>
          </w:p>
        </w:tc>
      </w:tr>
      <w:tr w:rsidR="00DB4DEE" w:rsidRPr="00376CD5" w:rsidTr="00545DCB">
        <w:trPr>
          <w:trHeight w:val="319"/>
        </w:trPr>
        <w:tc>
          <w:tcPr>
            <w:cnfStyle w:val="001000000000" w:firstRow="0" w:lastRow="0" w:firstColumn="1" w:lastColumn="0" w:oddVBand="0" w:evenVBand="0" w:oddHBand="0" w:evenHBand="0" w:firstRowFirstColumn="0" w:firstRowLastColumn="0" w:lastRowFirstColumn="0" w:lastRowLastColumn="0"/>
            <w:tcW w:w="5382" w:type="dxa"/>
          </w:tcPr>
          <w:p w:rsidR="00DB4DEE" w:rsidRPr="00376CD5" w:rsidRDefault="00DB4DEE" w:rsidP="00545DCB">
            <w:pPr>
              <w:rPr>
                <w:rFonts w:eastAsia="Calibri" w:cs="Times New Roman"/>
                <w:b w:val="0"/>
              </w:rPr>
            </w:pPr>
            <w:r w:rsidRPr="00376CD5">
              <w:rPr>
                <w:rFonts w:eastAsia="Calibri" w:cs="Times New Roman"/>
                <w:b w:val="0"/>
              </w:rPr>
              <w:t>More than 50 years</w:t>
            </w:r>
          </w:p>
        </w:tc>
        <w:tc>
          <w:tcPr>
            <w:tcW w:w="4590"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18.8%(7)</w:t>
            </w:r>
          </w:p>
        </w:tc>
      </w:tr>
    </w:tbl>
    <w:p w:rsidR="00DB4DEE" w:rsidRPr="00376CD5" w:rsidRDefault="00DB4DEE" w:rsidP="00DB4DEE">
      <w:pPr>
        <w:spacing w:after="0" w:line="240" w:lineRule="auto"/>
        <w:rPr>
          <w:color w:val="000000"/>
        </w:rPr>
      </w:pPr>
    </w:p>
    <w:p w:rsidR="00DB4DEE" w:rsidRPr="00376CD5" w:rsidRDefault="00DB4DEE" w:rsidP="00DB4DEE">
      <w:pPr>
        <w:spacing w:after="0" w:line="240" w:lineRule="auto"/>
        <w:rPr>
          <w:rFonts w:eastAsia="Calibri" w:cs="Times New Roman"/>
        </w:rPr>
      </w:pPr>
      <w:r w:rsidRPr="00376CD5">
        <w:rPr>
          <w:color w:val="000000"/>
        </w:rPr>
        <w:t xml:space="preserve">How many years has your organization been operating in Sangamon </w:t>
      </w:r>
      <w:proofErr w:type="gramStart"/>
      <w:r w:rsidRPr="00376CD5">
        <w:rPr>
          <w:color w:val="000000"/>
        </w:rPr>
        <w:t>County:</w:t>
      </w:r>
      <w:proofErr w:type="gramEnd"/>
    </w:p>
    <w:tbl>
      <w:tblPr>
        <w:tblStyle w:val="LightShading1"/>
        <w:tblW w:w="9972" w:type="dxa"/>
        <w:tblInd w:w="108" w:type="dxa"/>
        <w:tblLook w:val="04A0" w:firstRow="1" w:lastRow="0" w:firstColumn="1" w:lastColumn="0" w:noHBand="0" w:noVBand="1"/>
      </w:tblPr>
      <w:tblGrid>
        <w:gridCol w:w="5382"/>
        <w:gridCol w:w="4590"/>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382" w:type="dxa"/>
          </w:tcPr>
          <w:p w:rsidR="00DB4DEE" w:rsidRPr="00376CD5" w:rsidRDefault="00DB4DEE" w:rsidP="00545DCB">
            <w:pPr>
              <w:rPr>
                <w:rFonts w:eastAsia="Calibri" w:cs="Times New Roman"/>
                <w:b w:val="0"/>
              </w:rPr>
            </w:pPr>
          </w:p>
        </w:tc>
        <w:tc>
          <w:tcPr>
            <w:tcW w:w="4590"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382" w:type="dxa"/>
          </w:tcPr>
          <w:p w:rsidR="00DB4DEE" w:rsidRPr="00376CD5" w:rsidRDefault="00DB4DEE" w:rsidP="00545DCB">
            <w:pPr>
              <w:rPr>
                <w:rFonts w:eastAsia="Calibri" w:cs="Times New Roman"/>
                <w:b w:val="0"/>
              </w:rPr>
            </w:pPr>
            <w:r w:rsidRPr="00376CD5">
              <w:rPr>
                <w:rFonts w:eastAsia="Calibri" w:cs="Times New Roman"/>
                <w:b w:val="0"/>
              </w:rPr>
              <w:t>2 years or less</w:t>
            </w:r>
          </w:p>
        </w:tc>
        <w:tc>
          <w:tcPr>
            <w:tcW w:w="4590" w:type="dxa"/>
          </w:tcPr>
          <w:p w:rsidR="00DB4DEE" w:rsidRPr="00376CD5" w:rsidRDefault="00DB4DEE" w:rsidP="00545DCB">
            <w:pPr>
              <w:tabs>
                <w:tab w:val="left" w:pos="557"/>
              </w:tabs>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0%</w:t>
            </w:r>
          </w:p>
        </w:tc>
      </w:tr>
      <w:tr w:rsidR="00DB4DEE" w:rsidRPr="00376CD5" w:rsidTr="00545DCB">
        <w:trPr>
          <w:trHeight w:val="319"/>
        </w:trPr>
        <w:tc>
          <w:tcPr>
            <w:cnfStyle w:val="001000000000" w:firstRow="0" w:lastRow="0" w:firstColumn="1" w:lastColumn="0" w:oddVBand="0" w:evenVBand="0" w:oddHBand="0" w:evenHBand="0" w:firstRowFirstColumn="0" w:firstRowLastColumn="0" w:lastRowFirstColumn="0" w:lastRowLastColumn="0"/>
            <w:tcW w:w="5382" w:type="dxa"/>
          </w:tcPr>
          <w:p w:rsidR="00DB4DEE" w:rsidRPr="00376CD5" w:rsidRDefault="00DB4DEE" w:rsidP="00545DCB">
            <w:pPr>
              <w:rPr>
                <w:rFonts w:eastAsia="Calibri" w:cs="Times New Roman"/>
                <w:b w:val="0"/>
              </w:rPr>
            </w:pPr>
            <w:r w:rsidRPr="00376CD5">
              <w:rPr>
                <w:rFonts w:eastAsia="Calibri" w:cs="Times New Roman"/>
                <w:b w:val="0"/>
              </w:rPr>
              <w:t>3-5 years</w:t>
            </w:r>
          </w:p>
        </w:tc>
        <w:tc>
          <w:tcPr>
            <w:tcW w:w="4590" w:type="dxa"/>
          </w:tcPr>
          <w:p w:rsidR="00DB4DEE" w:rsidRPr="00376CD5" w:rsidRDefault="00DB4DEE" w:rsidP="00545DCB">
            <w:pPr>
              <w:tabs>
                <w:tab w:val="left" w:pos="557"/>
              </w:tabs>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0.5%(1)</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382" w:type="dxa"/>
          </w:tcPr>
          <w:p w:rsidR="00DB4DEE" w:rsidRPr="00376CD5" w:rsidRDefault="00DB4DEE" w:rsidP="00545DCB">
            <w:pPr>
              <w:rPr>
                <w:rFonts w:eastAsia="Calibri" w:cs="Times New Roman"/>
                <w:b w:val="0"/>
              </w:rPr>
            </w:pPr>
            <w:r w:rsidRPr="00376CD5">
              <w:rPr>
                <w:rFonts w:eastAsia="Calibri" w:cs="Times New Roman"/>
                <w:b w:val="0"/>
              </w:rPr>
              <w:t>6-10 years</w:t>
            </w:r>
          </w:p>
        </w:tc>
        <w:tc>
          <w:tcPr>
            <w:tcW w:w="4590" w:type="dxa"/>
          </w:tcPr>
          <w:p w:rsidR="00DB4DEE" w:rsidRPr="00376CD5" w:rsidRDefault="00DB4DEE" w:rsidP="00545DCB">
            <w:pPr>
              <w:tabs>
                <w:tab w:val="left" w:pos="557"/>
              </w:tabs>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2.6%(5)</w:t>
            </w:r>
          </w:p>
        </w:tc>
      </w:tr>
      <w:tr w:rsidR="00DB4DEE" w:rsidRPr="00376CD5" w:rsidTr="00545DCB">
        <w:trPr>
          <w:trHeight w:val="319"/>
        </w:trPr>
        <w:tc>
          <w:tcPr>
            <w:cnfStyle w:val="001000000000" w:firstRow="0" w:lastRow="0" w:firstColumn="1" w:lastColumn="0" w:oddVBand="0" w:evenVBand="0" w:oddHBand="0" w:evenHBand="0" w:firstRowFirstColumn="0" w:firstRowLastColumn="0" w:lastRowFirstColumn="0" w:lastRowLastColumn="0"/>
            <w:tcW w:w="5382" w:type="dxa"/>
          </w:tcPr>
          <w:p w:rsidR="00DB4DEE" w:rsidRPr="00376CD5" w:rsidRDefault="00DB4DEE" w:rsidP="00545DCB">
            <w:pPr>
              <w:rPr>
                <w:rFonts w:eastAsia="Calibri" w:cs="Times New Roman"/>
                <w:b w:val="0"/>
              </w:rPr>
            </w:pPr>
            <w:r w:rsidRPr="00376CD5">
              <w:rPr>
                <w:rFonts w:eastAsia="Calibri" w:cs="Times New Roman"/>
                <w:b w:val="0"/>
              </w:rPr>
              <w:t>11-20 years</w:t>
            </w:r>
          </w:p>
        </w:tc>
        <w:tc>
          <w:tcPr>
            <w:tcW w:w="4590" w:type="dxa"/>
          </w:tcPr>
          <w:p w:rsidR="00DB4DEE" w:rsidRPr="00376CD5" w:rsidRDefault="00DB4DEE" w:rsidP="00545DCB">
            <w:pPr>
              <w:tabs>
                <w:tab w:val="left" w:pos="557"/>
              </w:tabs>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18.7%(36)</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382" w:type="dxa"/>
          </w:tcPr>
          <w:p w:rsidR="00DB4DEE" w:rsidRPr="00376CD5" w:rsidRDefault="00DB4DEE" w:rsidP="00545DCB">
            <w:pPr>
              <w:rPr>
                <w:rFonts w:eastAsia="Calibri" w:cs="Times New Roman"/>
                <w:b w:val="0"/>
              </w:rPr>
            </w:pPr>
            <w:r w:rsidRPr="00376CD5">
              <w:rPr>
                <w:rFonts w:eastAsia="Calibri" w:cs="Times New Roman"/>
                <w:b w:val="0"/>
              </w:rPr>
              <w:t>21-30 years</w:t>
            </w:r>
          </w:p>
        </w:tc>
        <w:tc>
          <w:tcPr>
            <w:tcW w:w="459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21.8%(42)</w:t>
            </w:r>
          </w:p>
        </w:tc>
      </w:tr>
      <w:tr w:rsidR="00DB4DEE" w:rsidRPr="00376CD5" w:rsidTr="00545DCB">
        <w:trPr>
          <w:trHeight w:val="319"/>
        </w:trPr>
        <w:tc>
          <w:tcPr>
            <w:cnfStyle w:val="001000000000" w:firstRow="0" w:lastRow="0" w:firstColumn="1" w:lastColumn="0" w:oddVBand="0" w:evenVBand="0" w:oddHBand="0" w:evenHBand="0" w:firstRowFirstColumn="0" w:firstRowLastColumn="0" w:lastRowFirstColumn="0" w:lastRowLastColumn="0"/>
            <w:tcW w:w="5382" w:type="dxa"/>
          </w:tcPr>
          <w:p w:rsidR="00DB4DEE" w:rsidRPr="00376CD5" w:rsidRDefault="00DB4DEE" w:rsidP="00545DCB">
            <w:pPr>
              <w:rPr>
                <w:rFonts w:eastAsia="Calibri" w:cs="Times New Roman"/>
                <w:b w:val="0"/>
              </w:rPr>
            </w:pPr>
            <w:r w:rsidRPr="00376CD5">
              <w:rPr>
                <w:rFonts w:eastAsia="Calibri" w:cs="Times New Roman"/>
                <w:b w:val="0"/>
              </w:rPr>
              <w:t>31-40 years</w:t>
            </w:r>
          </w:p>
        </w:tc>
        <w:tc>
          <w:tcPr>
            <w:tcW w:w="4590"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11.9%(23)</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382" w:type="dxa"/>
          </w:tcPr>
          <w:p w:rsidR="00DB4DEE" w:rsidRPr="00376CD5" w:rsidRDefault="00DB4DEE" w:rsidP="00545DCB">
            <w:pPr>
              <w:rPr>
                <w:rFonts w:eastAsia="Calibri" w:cs="Times New Roman"/>
                <w:b w:val="0"/>
              </w:rPr>
            </w:pPr>
            <w:r w:rsidRPr="00376CD5">
              <w:rPr>
                <w:rFonts w:eastAsia="Calibri" w:cs="Times New Roman"/>
                <w:b w:val="0"/>
              </w:rPr>
              <w:t>41- 50 years</w:t>
            </w:r>
          </w:p>
        </w:tc>
        <w:tc>
          <w:tcPr>
            <w:tcW w:w="459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13.0%(25)</w:t>
            </w:r>
          </w:p>
        </w:tc>
      </w:tr>
      <w:tr w:rsidR="00DB4DEE" w:rsidRPr="00376CD5" w:rsidTr="00545DCB">
        <w:trPr>
          <w:trHeight w:val="319"/>
        </w:trPr>
        <w:tc>
          <w:tcPr>
            <w:cnfStyle w:val="001000000000" w:firstRow="0" w:lastRow="0" w:firstColumn="1" w:lastColumn="0" w:oddVBand="0" w:evenVBand="0" w:oddHBand="0" w:evenHBand="0" w:firstRowFirstColumn="0" w:firstRowLastColumn="0" w:lastRowFirstColumn="0" w:lastRowLastColumn="0"/>
            <w:tcW w:w="5382" w:type="dxa"/>
          </w:tcPr>
          <w:p w:rsidR="00DB4DEE" w:rsidRPr="00376CD5" w:rsidRDefault="00DB4DEE" w:rsidP="00545DCB">
            <w:pPr>
              <w:rPr>
                <w:rFonts w:eastAsia="Calibri" w:cs="Times New Roman"/>
                <w:b w:val="0"/>
              </w:rPr>
            </w:pPr>
            <w:r w:rsidRPr="00376CD5">
              <w:rPr>
                <w:rFonts w:eastAsia="Calibri" w:cs="Times New Roman"/>
                <w:b w:val="0"/>
              </w:rPr>
              <w:t>More than 50 years</w:t>
            </w:r>
          </w:p>
        </w:tc>
        <w:tc>
          <w:tcPr>
            <w:tcW w:w="4590"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31.6%(61)</w:t>
            </w:r>
          </w:p>
        </w:tc>
      </w:tr>
    </w:tbl>
    <w:p w:rsidR="00DB4DEE" w:rsidRPr="00376CD5" w:rsidRDefault="00DB4DEE" w:rsidP="00DB4DEE">
      <w:pPr>
        <w:spacing w:after="0" w:line="240" w:lineRule="auto"/>
        <w:rPr>
          <w:color w:val="000000"/>
        </w:rPr>
      </w:pPr>
    </w:p>
    <w:p w:rsidR="00DB4DEE" w:rsidRPr="00376CD5" w:rsidRDefault="00DB4DEE" w:rsidP="00DB4DEE">
      <w:pPr>
        <w:spacing w:after="0" w:line="240" w:lineRule="auto"/>
        <w:rPr>
          <w:rFonts w:eastAsia="Calibri" w:cs="Times New Roman"/>
        </w:rPr>
      </w:pPr>
      <w:r w:rsidRPr="00376CD5">
        <w:rPr>
          <w:color w:val="000000"/>
        </w:rPr>
        <w:t xml:space="preserve">How many years has your organization been operating in </w:t>
      </w:r>
      <w:proofErr w:type="gramStart"/>
      <w:r w:rsidRPr="00376CD5">
        <w:rPr>
          <w:color w:val="000000"/>
        </w:rPr>
        <w:t>Illinois:</w:t>
      </w:r>
      <w:proofErr w:type="gramEnd"/>
    </w:p>
    <w:tbl>
      <w:tblPr>
        <w:tblStyle w:val="LightShading1"/>
        <w:tblW w:w="9972" w:type="dxa"/>
        <w:tblInd w:w="108" w:type="dxa"/>
        <w:tblLook w:val="04A0" w:firstRow="1" w:lastRow="0" w:firstColumn="1" w:lastColumn="0" w:noHBand="0" w:noVBand="1"/>
      </w:tblPr>
      <w:tblGrid>
        <w:gridCol w:w="5382"/>
        <w:gridCol w:w="4590"/>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382" w:type="dxa"/>
          </w:tcPr>
          <w:p w:rsidR="00DB4DEE" w:rsidRPr="00376CD5" w:rsidRDefault="00DB4DEE" w:rsidP="00545DCB">
            <w:pPr>
              <w:rPr>
                <w:rFonts w:eastAsia="Calibri" w:cs="Times New Roman"/>
                <w:b w:val="0"/>
              </w:rPr>
            </w:pPr>
          </w:p>
        </w:tc>
        <w:tc>
          <w:tcPr>
            <w:tcW w:w="4590"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382" w:type="dxa"/>
          </w:tcPr>
          <w:p w:rsidR="00DB4DEE" w:rsidRPr="00376CD5" w:rsidRDefault="00DB4DEE" w:rsidP="00545DCB">
            <w:pPr>
              <w:rPr>
                <w:rFonts w:eastAsia="Calibri" w:cs="Times New Roman"/>
                <w:b w:val="0"/>
              </w:rPr>
            </w:pPr>
            <w:r w:rsidRPr="00376CD5">
              <w:rPr>
                <w:rFonts w:eastAsia="Calibri" w:cs="Times New Roman"/>
                <w:b w:val="0"/>
              </w:rPr>
              <w:t>2 years or less</w:t>
            </w:r>
          </w:p>
        </w:tc>
        <w:tc>
          <w:tcPr>
            <w:tcW w:w="4590" w:type="dxa"/>
          </w:tcPr>
          <w:p w:rsidR="00DB4DEE" w:rsidRPr="00376CD5" w:rsidRDefault="00DB4DEE" w:rsidP="00545DCB">
            <w:pPr>
              <w:tabs>
                <w:tab w:val="left" w:pos="557"/>
              </w:tabs>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0%</w:t>
            </w:r>
          </w:p>
        </w:tc>
      </w:tr>
      <w:tr w:rsidR="00DB4DEE" w:rsidRPr="00376CD5" w:rsidTr="00545DCB">
        <w:trPr>
          <w:trHeight w:val="319"/>
        </w:trPr>
        <w:tc>
          <w:tcPr>
            <w:cnfStyle w:val="001000000000" w:firstRow="0" w:lastRow="0" w:firstColumn="1" w:lastColumn="0" w:oddVBand="0" w:evenVBand="0" w:oddHBand="0" w:evenHBand="0" w:firstRowFirstColumn="0" w:firstRowLastColumn="0" w:lastRowFirstColumn="0" w:lastRowLastColumn="0"/>
            <w:tcW w:w="5382" w:type="dxa"/>
          </w:tcPr>
          <w:p w:rsidR="00DB4DEE" w:rsidRPr="00376CD5" w:rsidRDefault="00DB4DEE" w:rsidP="00545DCB">
            <w:pPr>
              <w:rPr>
                <w:rFonts w:eastAsia="Calibri" w:cs="Times New Roman"/>
                <w:b w:val="0"/>
              </w:rPr>
            </w:pPr>
            <w:r w:rsidRPr="00376CD5">
              <w:rPr>
                <w:rFonts w:eastAsia="Calibri" w:cs="Times New Roman"/>
                <w:b w:val="0"/>
              </w:rPr>
              <w:t>3-5 years</w:t>
            </w:r>
          </w:p>
        </w:tc>
        <w:tc>
          <w:tcPr>
            <w:tcW w:w="4590" w:type="dxa"/>
          </w:tcPr>
          <w:p w:rsidR="00DB4DEE" w:rsidRPr="00376CD5" w:rsidRDefault="00DB4DEE" w:rsidP="00545DCB">
            <w:pPr>
              <w:tabs>
                <w:tab w:val="left" w:pos="557"/>
              </w:tabs>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0.5%(1)</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382" w:type="dxa"/>
          </w:tcPr>
          <w:p w:rsidR="00DB4DEE" w:rsidRPr="00376CD5" w:rsidRDefault="00DB4DEE" w:rsidP="00545DCB">
            <w:pPr>
              <w:rPr>
                <w:rFonts w:eastAsia="Calibri" w:cs="Times New Roman"/>
                <w:b w:val="0"/>
              </w:rPr>
            </w:pPr>
            <w:r w:rsidRPr="00376CD5">
              <w:rPr>
                <w:rFonts w:eastAsia="Calibri" w:cs="Times New Roman"/>
                <w:b w:val="0"/>
              </w:rPr>
              <w:t>6-10 years</w:t>
            </w:r>
          </w:p>
        </w:tc>
        <w:tc>
          <w:tcPr>
            <w:tcW w:w="4590" w:type="dxa"/>
          </w:tcPr>
          <w:p w:rsidR="00DB4DEE" w:rsidRPr="00376CD5" w:rsidRDefault="00DB4DEE" w:rsidP="00545DCB">
            <w:pPr>
              <w:tabs>
                <w:tab w:val="left" w:pos="557"/>
              </w:tabs>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1.0%(2)</w:t>
            </w:r>
          </w:p>
        </w:tc>
      </w:tr>
      <w:tr w:rsidR="00DB4DEE" w:rsidRPr="00376CD5" w:rsidTr="00545DCB">
        <w:trPr>
          <w:trHeight w:val="319"/>
        </w:trPr>
        <w:tc>
          <w:tcPr>
            <w:cnfStyle w:val="001000000000" w:firstRow="0" w:lastRow="0" w:firstColumn="1" w:lastColumn="0" w:oddVBand="0" w:evenVBand="0" w:oddHBand="0" w:evenHBand="0" w:firstRowFirstColumn="0" w:firstRowLastColumn="0" w:lastRowFirstColumn="0" w:lastRowLastColumn="0"/>
            <w:tcW w:w="5382" w:type="dxa"/>
          </w:tcPr>
          <w:p w:rsidR="00DB4DEE" w:rsidRPr="00376CD5" w:rsidRDefault="00DB4DEE" w:rsidP="00545DCB">
            <w:pPr>
              <w:rPr>
                <w:rFonts w:eastAsia="Calibri" w:cs="Times New Roman"/>
                <w:b w:val="0"/>
              </w:rPr>
            </w:pPr>
            <w:r w:rsidRPr="00376CD5">
              <w:rPr>
                <w:rFonts w:eastAsia="Calibri" w:cs="Times New Roman"/>
                <w:b w:val="0"/>
              </w:rPr>
              <w:t>11-20 years</w:t>
            </w:r>
          </w:p>
        </w:tc>
        <w:tc>
          <w:tcPr>
            <w:tcW w:w="4590" w:type="dxa"/>
          </w:tcPr>
          <w:p w:rsidR="00DB4DEE" w:rsidRPr="00376CD5" w:rsidRDefault="00DB4DEE" w:rsidP="00545DCB">
            <w:pPr>
              <w:tabs>
                <w:tab w:val="left" w:pos="557"/>
              </w:tabs>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17.0%(33)</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382" w:type="dxa"/>
          </w:tcPr>
          <w:p w:rsidR="00DB4DEE" w:rsidRPr="00376CD5" w:rsidRDefault="00DB4DEE" w:rsidP="00545DCB">
            <w:pPr>
              <w:rPr>
                <w:rFonts w:eastAsia="Calibri" w:cs="Times New Roman"/>
                <w:b w:val="0"/>
              </w:rPr>
            </w:pPr>
            <w:r w:rsidRPr="00376CD5">
              <w:rPr>
                <w:rFonts w:eastAsia="Calibri" w:cs="Times New Roman"/>
                <w:b w:val="0"/>
              </w:rPr>
              <w:t>21-30 years</w:t>
            </w:r>
          </w:p>
        </w:tc>
        <w:tc>
          <w:tcPr>
            <w:tcW w:w="459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21.6%(42)</w:t>
            </w:r>
          </w:p>
        </w:tc>
      </w:tr>
      <w:tr w:rsidR="00DB4DEE" w:rsidRPr="00376CD5" w:rsidTr="00545DCB">
        <w:trPr>
          <w:trHeight w:val="319"/>
        </w:trPr>
        <w:tc>
          <w:tcPr>
            <w:cnfStyle w:val="001000000000" w:firstRow="0" w:lastRow="0" w:firstColumn="1" w:lastColumn="0" w:oddVBand="0" w:evenVBand="0" w:oddHBand="0" w:evenHBand="0" w:firstRowFirstColumn="0" w:firstRowLastColumn="0" w:lastRowFirstColumn="0" w:lastRowLastColumn="0"/>
            <w:tcW w:w="5382" w:type="dxa"/>
          </w:tcPr>
          <w:p w:rsidR="00DB4DEE" w:rsidRPr="00376CD5" w:rsidRDefault="00DB4DEE" w:rsidP="00545DCB">
            <w:pPr>
              <w:rPr>
                <w:rFonts w:eastAsia="Calibri" w:cs="Times New Roman"/>
                <w:b w:val="0"/>
              </w:rPr>
            </w:pPr>
            <w:r w:rsidRPr="00376CD5">
              <w:rPr>
                <w:rFonts w:eastAsia="Calibri" w:cs="Times New Roman"/>
                <w:b w:val="0"/>
              </w:rPr>
              <w:t>31-40 years</w:t>
            </w:r>
          </w:p>
        </w:tc>
        <w:tc>
          <w:tcPr>
            <w:tcW w:w="4590"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11.3%(22)</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382" w:type="dxa"/>
          </w:tcPr>
          <w:p w:rsidR="00DB4DEE" w:rsidRPr="00376CD5" w:rsidRDefault="00DB4DEE" w:rsidP="00545DCB">
            <w:pPr>
              <w:rPr>
                <w:rFonts w:eastAsia="Calibri" w:cs="Times New Roman"/>
                <w:b w:val="0"/>
              </w:rPr>
            </w:pPr>
            <w:r w:rsidRPr="00376CD5">
              <w:rPr>
                <w:rFonts w:eastAsia="Calibri" w:cs="Times New Roman"/>
                <w:b w:val="0"/>
              </w:rPr>
              <w:t>41- 50 years</w:t>
            </w:r>
          </w:p>
        </w:tc>
        <w:tc>
          <w:tcPr>
            <w:tcW w:w="459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pPr>
            <w:r w:rsidRPr="00376CD5">
              <w:t>14.4%(28)</w:t>
            </w:r>
          </w:p>
        </w:tc>
      </w:tr>
      <w:tr w:rsidR="00DB4DEE" w:rsidRPr="00376CD5" w:rsidTr="00545DCB">
        <w:trPr>
          <w:trHeight w:val="319"/>
        </w:trPr>
        <w:tc>
          <w:tcPr>
            <w:cnfStyle w:val="001000000000" w:firstRow="0" w:lastRow="0" w:firstColumn="1" w:lastColumn="0" w:oddVBand="0" w:evenVBand="0" w:oddHBand="0" w:evenHBand="0" w:firstRowFirstColumn="0" w:firstRowLastColumn="0" w:lastRowFirstColumn="0" w:lastRowLastColumn="0"/>
            <w:tcW w:w="5382" w:type="dxa"/>
          </w:tcPr>
          <w:p w:rsidR="00DB4DEE" w:rsidRPr="00376CD5" w:rsidRDefault="00DB4DEE" w:rsidP="00545DCB">
            <w:pPr>
              <w:rPr>
                <w:rFonts w:eastAsia="Calibri" w:cs="Times New Roman"/>
                <w:b w:val="0"/>
              </w:rPr>
            </w:pPr>
            <w:r w:rsidRPr="00376CD5">
              <w:rPr>
                <w:rFonts w:eastAsia="Calibri" w:cs="Times New Roman"/>
                <w:b w:val="0"/>
              </w:rPr>
              <w:t>More than 50 years</w:t>
            </w:r>
          </w:p>
        </w:tc>
        <w:tc>
          <w:tcPr>
            <w:tcW w:w="4590"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pPr>
            <w:r w:rsidRPr="00376CD5">
              <w:t>34.0%(66)</w:t>
            </w:r>
          </w:p>
        </w:tc>
      </w:tr>
    </w:tbl>
    <w:p w:rsidR="00DB4DEE" w:rsidRPr="00376CD5" w:rsidRDefault="00DB4DEE" w:rsidP="00DB4DEE">
      <w:pPr>
        <w:spacing w:after="0" w:line="240" w:lineRule="auto"/>
        <w:rPr>
          <w:rFonts w:eastAsia="Calibri" w:cs="Times New Roman"/>
        </w:rPr>
      </w:pPr>
      <w:r w:rsidRPr="00376CD5">
        <w:rPr>
          <w:color w:val="000000"/>
        </w:rPr>
        <w:lastRenderedPageBreak/>
        <w:t>Number of total full-time employees:</w:t>
      </w:r>
    </w:p>
    <w:tbl>
      <w:tblPr>
        <w:tblStyle w:val="LightShading1"/>
        <w:tblW w:w="9990" w:type="dxa"/>
        <w:tblInd w:w="108" w:type="dxa"/>
        <w:tblLook w:val="04A0" w:firstRow="1" w:lastRow="0" w:firstColumn="1" w:lastColumn="0" w:noHBand="0" w:noVBand="1"/>
      </w:tblPr>
      <w:tblGrid>
        <w:gridCol w:w="5490"/>
        <w:gridCol w:w="4500"/>
      </w:tblGrid>
      <w:tr w:rsidR="00DB4DEE" w:rsidRPr="00376CD5" w:rsidTr="00545DCB">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490" w:type="dxa"/>
          </w:tcPr>
          <w:p w:rsidR="00DB4DEE" w:rsidRPr="00376CD5" w:rsidRDefault="00DB4DEE" w:rsidP="00545DCB">
            <w:pPr>
              <w:rPr>
                <w:rFonts w:eastAsia="Calibri" w:cs="Times New Roman"/>
                <w:b w:val="0"/>
              </w:rPr>
            </w:pPr>
          </w:p>
        </w:tc>
        <w:tc>
          <w:tcPr>
            <w:tcW w:w="4500" w:type="dxa"/>
          </w:tcPr>
          <w:p w:rsidR="00DB4DEE" w:rsidRPr="00376CD5" w:rsidRDefault="00DB4DEE" w:rsidP="00545DCB">
            <w:pPr>
              <w:tabs>
                <w:tab w:val="left" w:pos="557"/>
              </w:tabs>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376CD5">
              <w:rPr>
                <w:rFonts w:eastAsia="Calibri" w:cs="Times New Roman"/>
                <w:b w:val="0"/>
              </w:rPr>
              <w:t>Valid percent(</w:t>
            </w:r>
            <w:r w:rsidRPr="00376CD5">
              <w:rPr>
                <w:rFonts w:eastAsia="Calibri" w:cs="Times New Roman"/>
                <w:b w:val="0"/>
                <w:i/>
              </w:rPr>
              <w:t>n</w:t>
            </w:r>
            <w:r w:rsidRPr="00376CD5">
              <w:rPr>
                <w:rFonts w:eastAsia="Calibri" w:cs="Times New Roman"/>
                <w:b w:val="0"/>
              </w:rPr>
              <w:t>)</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490" w:type="dxa"/>
          </w:tcPr>
          <w:p w:rsidR="00DB4DEE" w:rsidRPr="00376CD5" w:rsidRDefault="00DB4DEE" w:rsidP="00545DCB">
            <w:pPr>
              <w:rPr>
                <w:rFonts w:eastAsia="Calibri" w:cs="Times New Roman"/>
                <w:b w:val="0"/>
              </w:rPr>
            </w:pPr>
            <w:r w:rsidRPr="00376CD5">
              <w:rPr>
                <w:rFonts w:eastAsia="Calibri" w:cs="Times New Roman"/>
                <w:b w:val="0"/>
              </w:rPr>
              <w:t>Less than 5</w:t>
            </w:r>
          </w:p>
        </w:tc>
        <w:tc>
          <w:tcPr>
            <w:tcW w:w="450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13.5%(27)</w:t>
            </w:r>
          </w:p>
        </w:tc>
      </w:tr>
      <w:tr w:rsidR="00DB4DEE" w:rsidRPr="00376CD5" w:rsidTr="00545DCB">
        <w:trPr>
          <w:trHeight w:val="337"/>
        </w:trPr>
        <w:tc>
          <w:tcPr>
            <w:cnfStyle w:val="001000000000" w:firstRow="0" w:lastRow="0" w:firstColumn="1" w:lastColumn="0" w:oddVBand="0" w:evenVBand="0" w:oddHBand="0" w:evenHBand="0" w:firstRowFirstColumn="0" w:firstRowLastColumn="0" w:lastRowFirstColumn="0" w:lastRowLastColumn="0"/>
            <w:tcW w:w="5490" w:type="dxa"/>
          </w:tcPr>
          <w:p w:rsidR="00DB4DEE" w:rsidRPr="00376CD5" w:rsidRDefault="00DB4DEE" w:rsidP="00545DCB">
            <w:pPr>
              <w:rPr>
                <w:rFonts w:eastAsia="Calibri" w:cs="Times New Roman"/>
                <w:b w:val="0"/>
              </w:rPr>
            </w:pPr>
            <w:r w:rsidRPr="00376CD5">
              <w:rPr>
                <w:rFonts w:eastAsia="Calibri" w:cs="Times New Roman"/>
                <w:b w:val="0"/>
              </w:rPr>
              <w:t>5-10 employees</w:t>
            </w:r>
          </w:p>
        </w:tc>
        <w:tc>
          <w:tcPr>
            <w:tcW w:w="4500"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22.5%(45)</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490" w:type="dxa"/>
          </w:tcPr>
          <w:p w:rsidR="00DB4DEE" w:rsidRPr="00376CD5" w:rsidRDefault="00DB4DEE" w:rsidP="00545DCB">
            <w:pPr>
              <w:rPr>
                <w:rFonts w:eastAsia="Calibri" w:cs="Times New Roman"/>
                <w:b w:val="0"/>
              </w:rPr>
            </w:pPr>
            <w:r w:rsidRPr="00376CD5">
              <w:rPr>
                <w:rFonts w:eastAsia="Calibri" w:cs="Times New Roman"/>
                <w:b w:val="0"/>
              </w:rPr>
              <w:t>11-20 employees</w:t>
            </w:r>
          </w:p>
        </w:tc>
        <w:tc>
          <w:tcPr>
            <w:tcW w:w="450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25.0%(50)</w:t>
            </w:r>
          </w:p>
        </w:tc>
      </w:tr>
      <w:tr w:rsidR="00DB4DEE" w:rsidRPr="00376CD5" w:rsidTr="00545DCB">
        <w:trPr>
          <w:trHeight w:val="337"/>
        </w:trPr>
        <w:tc>
          <w:tcPr>
            <w:cnfStyle w:val="001000000000" w:firstRow="0" w:lastRow="0" w:firstColumn="1" w:lastColumn="0" w:oddVBand="0" w:evenVBand="0" w:oddHBand="0" w:evenHBand="0" w:firstRowFirstColumn="0" w:firstRowLastColumn="0" w:lastRowFirstColumn="0" w:lastRowLastColumn="0"/>
            <w:tcW w:w="5490" w:type="dxa"/>
          </w:tcPr>
          <w:p w:rsidR="00DB4DEE" w:rsidRPr="00376CD5" w:rsidRDefault="00DB4DEE" w:rsidP="00545DCB">
            <w:pPr>
              <w:rPr>
                <w:rFonts w:eastAsia="Calibri" w:cs="Times New Roman"/>
                <w:b w:val="0"/>
              </w:rPr>
            </w:pPr>
            <w:r w:rsidRPr="00376CD5">
              <w:rPr>
                <w:rFonts w:eastAsia="Calibri" w:cs="Times New Roman"/>
                <w:b w:val="0"/>
              </w:rPr>
              <w:t>21-35 employees</w:t>
            </w:r>
          </w:p>
        </w:tc>
        <w:tc>
          <w:tcPr>
            <w:tcW w:w="4500"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13.0%(26)</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490" w:type="dxa"/>
          </w:tcPr>
          <w:p w:rsidR="00DB4DEE" w:rsidRPr="00376CD5" w:rsidRDefault="00DB4DEE" w:rsidP="00545DCB">
            <w:pPr>
              <w:rPr>
                <w:rFonts w:eastAsia="Calibri" w:cs="Times New Roman"/>
                <w:b w:val="0"/>
              </w:rPr>
            </w:pPr>
            <w:r w:rsidRPr="00376CD5">
              <w:rPr>
                <w:rFonts w:eastAsia="Calibri" w:cs="Times New Roman"/>
                <w:b w:val="0"/>
              </w:rPr>
              <w:t>36-50 employees</w:t>
            </w:r>
          </w:p>
        </w:tc>
        <w:tc>
          <w:tcPr>
            <w:tcW w:w="450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6.5%(13)</w:t>
            </w:r>
          </w:p>
        </w:tc>
      </w:tr>
      <w:tr w:rsidR="00DB4DEE" w:rsidRPr="00376CD5" w:rsidTr="00545DCB">
        <w:trPr>
          <w:trHeight w:val="337"/>
        </w:trPr>
        <w:tc>
          <w:tcPr>
            <w:cnfStyle w:val="001000000000" w:firstRow="0" w:lastRow="0" w:firstColumn="1" w:lastColumn="0" w:oddVBand="0" w:evenVBand="0" w:oddHBand="0" w:evenHBand="0" w:firstRowFirstColumn="0" w:firstRowLastColumn="0" w:lastRowFirstColumn="0" w:lastRowLastColumn="0"/>
            <w:tcW w:w="5490" w:type="dxa"/>
          </w:tcPr>
          <w:p w:rsidR="00DB4DEE" w:rsidRPr="00376CD5" w:rsidRDefault="00DB4DEE" w:rsidP="00545DCB">
            <w:pPr>
              <w:rPr>
                <w:rFonts w:eastAsia="Calibri" w:cs="Times New Roman"/>
                <w:b w:val="0"/>
              </w:rPr>
            </w:pPr>
            <w:r w:rsidRPr="00376CD5">
              <w:rPr>
                <w:rFonts w:eastAsia="Calibri" w:cs="Times New Roman"/>
                <w:b w:val="0"/>
              </w:rPr>
              <w:t>51-100 employees</w:t>
            </w:r>
          </w:p>
        </w:tc>
        <w:tc>
          <w:tcPr>
            <w:tcW w:w="4500"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8.0%(16)</w:t>
            </w:r>
          </w:p>
        </w:tc>
      </w:tr>
      <w:tr w:rsidR="00DB4DEE" w:rsidRPr="00376CD5" w:rsidTr="00545DCB">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490" w:type="dxa"/>
          </w:tcPr>
          <w:p w:rsidR="00DB4DEE" w:rsidRPr="00376CD5" w:rsidRDefault="00DB4DEE" w:rsidP="00545DCB">
            <w:pPr>
              <w:rPr>
                <w:rFonts w:eastAsia="Calibri" w:cs="Times New Roman"/>
                <w:b w:val="0"/>
              </w:rPr>
            </w:pPr>
            <w:r w:rsidRPr="00376CD5">
              <w:rPr>
                <w:rFonts w:eastAsia="Calibri" w:cs="Times New Roman"/>
                <w:b w:val="0"/>
              </w:rPr>
              <w:t>101-200 employees</w:t>
            </w:r>
          </w:p>
        </w:tc>
        <w:tc>
          <w:tcPr>
            <w:tcW w:w="4500" w:type="dxa"/>
          </w:tcPr>
          <w:p w:rsidR="00DB4DEE" w:rsidRPr="00376CD5" w:rsidRDefault="00DB4DEE" w:rsidP="00545DCB">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76CD5">
              <w:rPr>
                <w:rFonts w:eastAsia="Calibri" w:cs="Times New Roman"/>
              </w:rPr>
              <w:t>8.5%(17)</w:t>
            </w:r>
          </w:p>
        </w:tc>
      </w:tr>
      <w:tr w:rsidR="00DB4DEE" w:rsidRPr="00376CD5" w:rsidTr="00545DCB">
        <w:trPr>
          <w:trHeight w:val="337"/>
        </w:trPr>
        <w:tc>
          <w:tcPr>
            <w:cnfStyle w:val="001000000000" w:firstRow="0" w:lastRow="0" w:firstColumn="1" w:lastColumn="0" w:oddVBand="0" w:evenVBand="0" w:oddHBand="0" w:evenHBand="0" w:firstRowFirstColumn="0" w:firstRowLastColumn="0" w:lastRowFirstColumn="0" w:lastRowLastColumn="0"/>
            <w:tcW w:w="5490" w:type="dxa"/>
          </w:tcPr>
          <w:p w:rsidR="00DB4DEE" w:rsidRPr="00376CD5" w:rsidRDefault="00DB4DEE" w:rsidP="00545DCB">
            <w:pPr>
              <w:rPr>
                <w:rFonts w:eastAsia="Calibri" w:cs="Times New Roman"/>
                <w:b w:val="0"/>
              </w:rPr>
            </w:pPr>
            <w:r w:rsidRPr="00376CD5">
              <w:rPr>
                <w:rFonts w:eastAsia="Calibri" w:cs="Times New Roman"/>
                <w:b w:val="0"/>
              </w:rPr>
              <w:t>More than 200 employees</w:t>
            </w:r>
          </w:p>
        </w:tc>
        <w:tc>
          <w:tcPr>
            <w:tcW w:w="4500" w:type="dxa"/>
          </w:tcPr>
          <w:p w:rsidR="00DB4DEE" w:rsidRPr="00376CD5" w:rsidRDefault="00DB4DEE" w:rsidP="00545DCB">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76CD5">
              <w:rPr>
                <w:rFonts w:eastAsia="Calibri" w:cs="Times New Roman"/>
              </w:rPr>
              <w:t>3.0%(6)</w:t>
            </w:r>
          </w:p>
        </w:tc>
      </w:tr>
    </w:tbl>
    <w:p w:rsidR="00DB4DEE" w:rsidRPr="00376CD5" w:rsidRDefault="00DB4DEE" w:rsidP="00DB4DEE">
      <w:pPr>
        <w:spacing w:after="0" w:line="240" w:lineRule="auto"/>
        <w:rPr>
          <w:color w:val="000000"/>
        </w:rPr>
      </w:pPr>
    </w:p>
    <w:p w:rsidR="00271CE1" w:rsidRPr="00376CD5" w:rsidRDefault="00271CE1" w:rsidP="000338E0">
      <w:pPr>
        <w:rPr>
          <w:rFonts w:cs="Times New Roman"/>
          <w:sz w:val="24"/>
          <w:szCs w:val="24"/>
        </w:rPr>
      </w:pPr>
    </w:p>
    <w:sectPr w:rsidR="00271CE1" w:rsidRPr="00376C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B62" w:rsidRDefault="003B3B62" w:rsidP="0046477E">
      <w:pPr>
        <w:spacing w:after="0" w:line="240" w:lineRule="auto"/>
      </w:pPr>
      <w:r>
        <w:separator/>
      </w:r>
    </w:p>
  </w:endnote>
  <w:endnote w:type="continuationSeparator" w:id="0">
    <w:p w:rsidR="003B3B62" w:rsidRDefault="003B3B62" w:rsidP="00464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7056799"/>
      <w:docPartObj>
        <w:docPartGallery w:val="Page Numbers (Bottom of Page)"/>
        <w:docPartUnique/>
      </w:docPartObj>
    </w:sdtPr>
    <w:sdtEndPr>
      <w:rPr>
        <w:rFonts w:ascii="Garamond" w:hAnsi="Garamond"/>
      </w:rPr>
    </w:sdtEndPr>
    <w:sdtContent>
      <w:p w:rsidR="007030FD" w:rsidRPr="0099367E" w:rsidRDefault="007030FD">
        <w:pPr>
          <w:pStyle w:val="Footer"/>
          <w:jc w:val="right"/>
          <w:rPr>
            <w:rFonts w:ascii="Garamond" w:hAnsi="Garamond"/>
          </w:rPr>
        </w:pPr>
        <w:r w:rsidRPr="00C13666">
          <w:rPr>
            <w:rFonts w:asciiTheme="minorHAnsi" w:hAnsiTheme="minorHAnsi"/>
          </w:rPr>
          <w:t xml:space="preserve">Page </w:t>
        </w:r>
        <w:r w:rsidRPr="0099367E">
          <w:rPr>
            <w:rFonts w:ascii="Garamond" w:hAnsi="Garamond"/>
          </w:rPr>
          <w:t>|</w:t>
        </w:r>
        <w:r w:rsidRPr="00C13666">
          <w:rPr>
            <w:rFonts w:asciiTheme="minorHAnsi" w:hAnsiTheme="minorHAnsi"/>
          </w:rPr>
          <w:t xml:space="preserve"> </w:t>
        </w:r>
        <w:r w:rsidRPr="00C13666">
          <w:rPr>
            <w:rFonts w:asciiTheme="minorHAnsi" w:hAnsiTheme="minorHAnsi"/>
          </w:rPr>
          <w:fldChar w:fldCharType="begin"/>
        </w:r>
        <w:r w:rsidRPr="00C13666">
          <w:rPr>
            <w:rFonts w:asciiTheme="minorHAnsi" w:hAnsiTheme="minorHAnsi"/>
          </w:rPr>
          <w:instrText xml:space="preserve"> PAGE   \* MERGEFORMAT </w:instrText>
        </w:r>
        <w:r w:rsidRPr="00C13666">
          <w:rPr>
            <w:rFonts w:asciiTheme="minorHAnsi" w:hAnsiTheme="minorHAnsi"/>
          </w:rPr>
          <w:fldChar w:fldCharType="separate"/>
        </w:r>
        <w:r w:rsidR="00845A6D">
          <w:rPr>
            <w:rFonts w:asciiTheme="minorHAnsi" w:hAnsiTheme="minorHAnsi"/>
            <w:noProof/>
          </w:rPr>
          <w:t>9</w:t>
        </w:r>
        <w:r w:rsidRPr="00C13666">
          <w:rPr>
            <w:rFonts w:asciiTheme="minorHAnsi" w:hAnsiTheme="minorHAnsi"/>
            <w:noProof/>
          </w:rPr>
          <w:fldChar w:fldCharType="end"/>
        </w:r>
        <w:r w:rsidRPr="0099367E">
          <w:rPr>
            <w:rFonts w:ascii="Garamond" w:hAnsi="Garamond"/>
          </w:rPr>
          <w:t xml:space="preserve"> </w:t>
        </w:r>
      </w:p>
    </w:sdtContent>
  </w:sdt>
  <w:p w:rsidR="007030FD" w:rsidRDefault="007030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B62" w:rsidRDefault="003B3B62" w:rsidP="0046477E">
      <w:pPr>
        <w:spacing w:after="0" w:line="240" w:lineRule="auto"/>
      </w:pPr>
      <w:r>
        <w:separator/>
      </w:r>
    </w:p>
  </w:footnote>
  <w:footnote w:type="continuationSeparator" w:id="0">
    <w:p w:rsidR="003B3B62" w:rsidRDefault="003B3B62" w:rsidP="0046477E">
      <w:pPr>
        <w:spacing w:after="0" w:line="240" w:lineRule="auto"/>
      </w:pPr>
      <w:r>
        <w:continuationSeparator/>
      </w:r>
    </w:p>
  </w:footnote>
  <w:footnote w:id="1">
    <w:p w:rsidR="007030FD" w:rsidRPr="00144B0B" w:rsidRDefault="007030FD" w:rsidP="0046477E">
      <w:pPr>
        <w:pStyle w:val="FootnoteText"/>
        <w:rPr>
          <w:rFonts w:ascii="Garamond" w:hAnsi="Garamond"/>
        </w:rPr>
      </w:pPr>
      <w:r w:rsidRPr="00144B0B">
        <w:rPr>
          <w:rStyle w:val="FootnoteReference"/>
          <w:rFonts w:ascii="Garamond" w:hAnsi="Garamond"/>
        </w:rPr>
        <w:footnoteRef/>
      </w:r>
      <w:r w:rsidRPr="00144B0B">
        <w:rPr>
          <w:rFonts w:ascii="Garamond" w:hAnsi="Garamond"/>
        </w:rPr>
        <w:t xml:space="preserve"> </w:t>
      </w:r>
      <w:proofErr w:type="gramStart"/>
      <w:r w:rsidRPr="00643784">
        <w:rPr>
          <w:rFonts w:asciiTheme="minorHAnsi" w:hAnsiTheme="minorHAnsi"/>
        </w:rPr>
        <w:t>The only exception being September 2011.</w:t>
      </w:r>
      <w:proofErr w:type="gramEnd"/>
      <w:r w:rsidRPr="00643784">
        <w:rPr>
          <w:rFonts w:asciiTheme="minorHAnsi" w:hAnsiTheme="minorHAnsi"/>
        </w:rPr>
        <w:t xml:space="preserve"> </w:t>
      </w:r>
    </w:p>
  </w:footnote>
  <w:footnote w:id="2">
    <w:p w:rsidR="007030FD" w:rsidRPr="00643784" w:rsidRDefault="007030FD" w:rsidP="0046477E">
      <w:pPr>
        <w:pStyle w:val="FootnoteText"/>
        <w:rPr>
          <w:rFonts w:asciiTheme="minorHAnsi" w:hAnsiTheme="minorHAnsi"/>
        </w:rPr>
      </w:pPr>
      <w:r w:rsidRPr="00643784">
        <w:rPr>
          <w:rStyle w:val="FootnoteReference"/>
          <w:rFonts w:asciiTheme="minorHAnsi" w:hAnsiTheme="minorHAnsi"/>
        </w:rPr>
        <w:footnoteRef/>
      </w:r>
      <w:r w:rsidRPr="00643784">
        <w:rPr>
          <w:rFonts w:asciiTheme="minorHAnsi" w:hAnsiTheme="minorHAnsi"/>
        </w:rPr>
        <w:t xml:space="preserve"> The </w:t>
      </w:r>
      <w:proofErr w:type="gramStart"/>
      <w:r w:rsidRPr="00643784">
        <w:rPr>
          <w:rFonts w:asciiTheme="minorHAnsi" w:hAnsiTheme="minorHAnsi"/>
        </w:rPr>
        <w:t>Fall</w:t>
      </w:r>
      <w:proofErr w:type="gramEnd"/>
      <w:r w:rsidRPr="00643784">
        <w:rPr>
          <w:rFonts w:asciiTheme="minorHAnsi" w:hAnsiTheme="minorHAnsi"/>
        </w:rPr>
        <w:t xml:space="preserve"> 2014 survey is the </w:t>
      </w:r>
      <w:r>
        <w:rPr>
          <w:rFonts w:asciiTheme="minorHAnsi" w:hAnsiTheme="minorHAnsi"/>
        </w:rPr>
        <w:t xml:space="preserve">third </w:t>
      </w:r>
      <w:r w:rsidRPr="00643784">
        <w:rPr>
          <w:rFonts w:asciiTheme="minorHAnsi" w:hAnsiTheme="minorHAnsi"/>
        </w:rPr>
        <w:t xml:space="preserve">time that we input data for respondents who did not identify their primary economic activity. Missing cases were matched with their classifications provided by DUNS data and checked by researchers. Evaluations of own sector were compared between those who provided their classification as well as the new inputted data </w:t>
      </w:r>
      <w:r>
        <w:rPr>
          <w:rFonts w:asciiTheme="minorHAnsi" w:hAnsiTheme="minorHAnsi"/>
        </w:rPr>
        <w:t xml:space="preserve">for those who did not </w:t>
      </w:r>
      <w:r w:rsidRPr="00643784">
        <w:rPr>
          <w:rFonts w:asciiTheme="minorHAnsi" w:hAnsiTheme="minorHAnsi"/>
        </w:rPr>
        <w:t xml:space="preserve">and no differences were found (both </w:t>
      </w:r>
      <w:r w:rsidRPr="00643784">
        <w:rPr>
          <w:rFonts w:asciiTheme="minorHAnsi" w:hAnsiTheme="minorHAnsi"/>
          <w:i/>
        </w:rPr>
        <w:t>IIS</w:t>
      </w:r>
      <w:r w:rsidRPr="00643784">
        <w:rPr>
          <w:rFonts w:asciiTheme="minorHAnsi" w:hAnsiTheme="minorHAnsi"/>
        </w:rPr>
        <w:t xml:space="preserve"> were +1</w:t>
      </w:r>
      <w:r>
        <w:rPr>
          <w:rFonts w:asciiTheme="minorHAnsi" w:hAnsiTheme="minorHAnsi"/>
        </w:rPr>
        <w:t>1</w:t>
      </w:r>
      <w:r w:rsidRPr="00643784">
        <w:rPr>
          <w:rFonts w:asciiTheme="minorHAnsi" w:hAnsiTheme="minorHAnsi"/>
        </w:rPr>
        <w:t>), therefore we relied on the inputted dataset in order to increase the number of respondents included in the analysis.</w:t>
      </w:r>
    </w:p>
  </w:footnote>
  <w:footnote w:id="3">
    <w:p w:rsidR="007030FD" w:rsidRDefault="007030FD">
      <w:pPr>
        <w:pStyle w:val="FootnoteText"/>
      </w:pPr>
      <w:r>
        <w:rPr>
          <w:rStyle w:val="FootnoteReference"/>
        </w:rPr>
        <w:footnoteRef/>
      </w:r>
      <w:r>
        <w:t xml:space="preserve"> </w:t>
      </w:r>
      <w:r w:rsidRPr="001076DB">
        <w:rPr>
          <w:rFonts w:asciiTheme="minorHAnsi" w:hAnsiTheme="minorHAnsi"/>
        </w:rPr>
        <w:t xml:space="preserve">These briefs are </w:t>
      </w:r>
      <w:r w:rsidRPr="001076DB">
        <w:rPr>
          <w:rFonts w:asciiTheme="minorHAnsi" w:hAnsiTheme="minorHAnsi"/>
          <w:color w:val="0D0D0D" w:themeColor="text1" w:themeTint="F2"/>
          <w:szCs w:val="24"/>
        </w:rPr>
        <w:t>available at www.urban.org/nonprofits-great-recession/.</w:t>
      </w:r>
    </w:p>
  </w:footnote>
  <w:footnote w:id="4">
    <w:p w:rsidR="007030FD" w:rsidRPr="00E53940" w:rsidRDefault="007030FD">
      <w:pPr>
        <w:pStyle w:val="FootnoteText"/>
        <w:rPr>
          <w:rFonts w:asciiTheme="minorHAnsi" w:hAnsiTheme="minorHAnsi"/>
        </w:rPr>
      </w:pPr>
      <w:r w:rsidRPr="00E53940">
        <w:rPr>
          <w:rStyle w:val="FootnoteReference"/>
          <w:rFonts w:asciiTheme="minorHAnsi" w:hAnsiTheme="minorHAnsi"/>
        </w:rPr>
        <w:footnoteRef/>
      </w:r>
      <w:r w:rsidRPr="00E53940">
        <w:rPr>
          <w:rFonts w:asciiTheme="minorHAnsi" w:hAnsiTheme="minorHAnsi"/>
        </w:rPr>
        <w:t xml:space="preserve"> Available at http://www.indiana.edu/~nonprof/results/inemploy/innonprofemploytrendsrecession.php</w:t>
      </w:r>
    </w:p>
  </w:footnote>
  <w:footnote w:id="5">
    <w:p w:rsidR="007030FD" w:rsidRDefault="007030FD">
      <w:pPr>
        <w:pStyle w:val="FootnoteText"/>
      </w:pPr>
      <w:r>
        <w:rPr>
          <w:rStyle w:val="FootnoteReference"/>
        </w:rPr>
        <w:footnoteRef/>
      </w:r>
      <w:r w:rsidRPr="00C41673">
        <w:rPr>
          <w:rFonts w:asciiTheme="minorHAnsi" w:hAnsiTheme="minorHAnsi"/>
        </w:rPr>
        <w:t xml:space="preserve"> </w:t>
      </w:r>
      <w:r>
        <w:rPr>
          <w:rFonts w:asciiTheme="minorHAnsi" w:hAnsiTheme="minorHAnsi"/>
        </w:rPr>
        <w:t xml:space="preserve">Available at </w:t>
      </w:r>
      <w:r w:rsidRPr="00C41673">
        <w:rPr>
          <w:rFonts w:asciiTheme="minorHAnsi" w:hAnsiTheme="minorHAnsi"/>
        </w:rPr>
        <w:t>http://www.urban.org/publications/412962.html</w:t>
      </w:r>
    </w:p>
  </w:footnote>
  <w:footnote w:id="6">
    <w:p w:rsidR="003B1452" w:rsidRPr="003B1452" w:rsidRDefault="003B1452">
      <w:pPr>
        <w:pStyle w:val="FootnoteText"/>
        <w:rPr>
          <w:rFonts w:asciiTheme="minorHAnsi" w:hAnsiTheme="minorHAnsi"/>
        </w:rPr>
      </w:pPr>
      <w:r w:rsidRPr="003B1452">
        <w:rPr>
          <w:rStyle w:val="FootnoteReference"/>
          <w:rFonts w:asciiTheme="minorHAnsi" w:hAnsiTheme="minorHAnsi"/>
        </w:rPr>
        <w:footnoteRef/>
      </w:r>
      <w:r w:rsidRPr="003B1452">
        <w:rPr>
          <w:rFonts w:asciiTheme="minorHAnsi" w:hAnsiTheme="minorHAnsi"/>
        </w:rPr>
        <w:t xml:space="preserve"> SD refers to standard deviation.</w:t>
      </w:r>
    </w:p>
  </w:footnote>
  <w:footnote w:id="7">
    <w:p w:rsidR="007030FD" w:rsidRDefault="007030FD" w:rsidP="00C3732B">
      <w:pPr>
        <w:pStyle w:val="FootnoteText"/>
      </w:pPr>
      <w:r>
        <w:rPr>
          <w:rStyle w:val="FootnoteReference"/>
        </w:rPr>
        <w:footnoteRef/>
      </w:r>
      <w:r>
        <w:t xml:space="preserve"> </w:t>
      </w:r>
      <w:r w:rsidRPr="00705083">
        <w:rPr>
          <w:rFonts w:asciiTheme="minorHAnsi" w:hAnsiTheme="minorHAnsi"/>
        </w:rPr>
        <w:t xml:space="preserve">According to the U.S. Bureau of Labor Statistics’ estimate, the CPI for Midwest </w:t>
      </w:r>
      <w:r>
        <w:rPr>
          <w:rFonts w:asciiTheme="minorHAnsi" w:hAnsiTheme="minorHAnsi"/>
        </w:rPr>
        <w:t>urban</w:t>
      </w:r>
      <w:r w:rsidRPr="00705083">
        <w:rPr>
          <w:rFonts w:asciiTheme="minorHAnsi" w:hAnsiTheme="minorHAnsi"/>
        </w:rPr>
        <w:t xml:space="preserve"> cities has increased from</w:t>
      </w:r>
      <w:r>
        <w:rPr>
          <w:rFonts w:asciiTheme="minorHAnsi" w:hAnsiTheme="minorHAnsi"/>
        </w:rPr>
        <w:t xml:space="preserve"> 205 in </w:t>
      </w:r>
      <w:proofErr w:type="gramStart"/>
      <w:r>
        <w:rPr>
          <w:rFonts w:asciiTheme="minorHAnsi" w:hAnsiTheme="minorHAnsi"/>
        </w:rPr>
        <w:t>Fall</w:t>
      </w:r>
      <w:proofErr w:type="gramEnd"/>
      <w:r>
        <w:rPr>
          <w:rFonts w:asciiTheme="minorHAnsi" w:hAnsiTheme="minorHAnsi"/>
        </w:rPr>
        <w:t xml:space="preserve"> 2009 to 226 in Fall 2014</w:t>
      </w:r>
      <w:r w:rsidR="006C08D8">
        <w:rPr>
          <w:rFonts w:asciiTheme="minorHAnsi" w:hAnsiTheme="minorHAnsi"/>
        </w:rPr>
        <w:t>, which is not considered a significant increase in inflation rates.</w:t>
      </w:r>
    </w:p>
  </w:footnote>
  <w:footnote w:id="8">
    <w:p w:rsidR="007030FD" w:rsidRDefault="007030FD">
      <w:pPr>
        <w:pStyle w:val="FootnoteText"/>
      </w:pPr>
      <w:r>
        <w:rPr>
          <w:rStyle w:val="FootnoteReference"/>
        </w:rPr>
        <w:footnoteRef/>
      </w:r>
      <w:r>
        <w:t xml:space="preserve"> </w:t>
      </w:r>
      <w:r w:rsidRPr="0034018E">
        <w:rPr>
          <w:rFonts w:asciiTheme="minorHAnsi" w:eastAsia="Calibri" w:hAnsiTheme="minorHAnsi"/>
          <w:szCs w:val="24"/>
        </w:rPr>
        <w:t xml:space="preserve">The Sangamon County Economic Outlook Survey has included “healthcare for employees, Affordable Care Act” as a pre-identified challenge since </w:t>
      </w:r>
      <w:proofErr w:type="gramStart"/>
      <w:r w:rsidRPr="0034018E">
        <w:rPr>
          <w:rFonts w:asciiTheme="minorHAnsi" w:eastAsia="Calibri" w:hAnsiTheme="minorHAnsi"/>
          <w:szCs w:val="24"/>
        </w:rPr>
        <w:t>Spring</w:t>
      </w:r>
      <w:proofErr w:type="gramEnd"/>
      <w:r w:rsidRPr="0034018E">
        <w:rPr>
          <w:rFonts w:asciiTheme="minorHAnsi" w:eastAsia="Calibri" w:hAnsiTheme="minorHAnsi"/>
          <w:szCs w:val="24"/>
        </w:rPr>
        <w:t xml:space="preserve"> 2014. In both surveys, it is one of the biggest challenges list for Sangamon County employers.</w:t>
      </w:r>
    </w:p>
  </w:footnote>
  <w:footnote w:id="9">
    <w:p w:rsidR="006C08D8" w:rsidRDefault="006C08D8" w:rsidP="006C08D8">
      <w:pPr>
        <w:pStyle w:val="FootnoteText"/>
      </w:pPr>
      <w:r>
        <w:rPr>
          <w:rStyle w:val="FootnoteReference"/>
        </w:rPr>
        <w:footnoteRef/>
      </w:r>
      <w:r>
        <w:t xml:space="preserve"> </w:t>
      </w:r>
      <w:r w:rsidRPr="000342BC">
        <w:rPr>
          <w:rFonts w:asciiTheme="minorHAnsi" w:hAnsiTheme="minorHAnsi"/>
        </w:rPr>
        <w:t>This may also be due to the fact that fewer non-profit and public sector employers participate in the survey</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34616"/>
    <w:multiLevelType w:val="hybridMultilevel"/>
    <w:tmpl w:val="0A268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AC4686"/>
    <w:multiLevelType w:val="hybridMultilevel"/>
    <w:tmpl w:val="73C27064"/>
    <w:lvl w:ilvl="0" w:tplc="8BEA00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B0373E"/>
    <w:multiLevelType w:val="hybridMultilevel"/>
    <w:tmpl w:val="2C3EBCA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BB34C4"/>
    <w:multiLevelType w:val="multilevel"/>
    <w:tmpl w:val="04C08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28423D"/>
    <w:multiLevelType w:val="hybridMultilevel"/>
    <w:tmpl w:val="C4E2A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2E92414"/>
    <w:multiLevelType w:val="hybridMultilevel"/>
    <w:tmpl w:val="85A8EB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F5E"/>
    <w:rsid w:val="00013A03"/>
    <w:rsid w:val="00022507"/>
    <w:rsid w:val="00031C22"/>
    <w:rsid w:val="000335D1"/>
    <w:rsid w:val="000338E0"/>
    <w:rsid w:val="000342BC"/>
    <w:rsid w:val="00043B5F"/>
    <w:rsid w:val="00055CD3"/>
    <w:rsid w:val="00072228"/>
    <w:rsid w:val="00075242"/>
    <w:rsid w:val="000855BE"/>
    <w:rsid w:val="00091C75"/>
    <w:rsid w:val="0009373F"/>
    <w:rsid w:val="00097E93"/>
    <w:rsid w:val="000B7A28"/>
    <w:rsid w:val="000C11A0"/>
    <w:rsid w:val="000D0AFB"/>
    <w:rsid w:val="000D6E1B"/>
    <w:rsid w:val="000E5B3F"/>
    <w:rsid w:val="000F40BB"/>
    <w:rsid w:val="000F7BEA"/>
    <w:rsid w:val="00100227"/>
    <w:rsid w:val="001076DB"/>
    <w:rsid w:val="00132647"/>
    <w:rsid w:val="00136256"/>
    <w:rsid w:val="00137C55"/>
    <w:rsid w:val="0014239E"/>
    <w:rsid w:val="001455CC"/>
    <w:rsid w:val="0015376E"/>
    <w:rsid w:val="00154D13"/>
    <w:rsid w:val="0016517C"/>
    <w:rsid w:val="0017310E"/>
    <w:rsid w:val="00184899"/>
    <w:rsid w:val="00195F46"/>
    <w:rsid w:val="001A2A75"/>
    <w:rsid w:val="001A73B7"/>
    <w:rsid w:val="001B1052"/>
    <w:rsid w:val="001C6776"/>
    <w:rsid w:val="001D0A9E"/>
    <w:rsid w:val="001F71A2"/>
    <w:rsid w:val="00213DCD"/>
    <w:rsid w:val="002150FC"/>
    <w:rsid w:val="00230591"/>
    <w:rsid w:val="00251398"/>
    <w:rsid w:val="0025790A"/>
    <w:rsid w:val="002639D7"/>
    <w:rsid w:val="00264BC2"/>
    <w:rsid w:val="002676FB"/>
    <w:rsid w:val="00271CE1"/>
    <w:rsid w:val="00273D49"/>
    <w:rsid w:val="002948CE"/>
    <w:rsid w:val="002C519B"/>
    <w:rsid w:val="002D4806"/>
    <w:rsid w:val="002E0C36"/>
    <w:rsid w:val="002E1340"/>
    <w:rsid w:val="002E17CD"/>
    <w:rsid w:val="002E4C02"/>
    <w:rsid w:val="00303F47"/>
    <w:rsid w:val="00320EBB"/>
    <w:rsid w:val="00334CA6"/>
    <w:rsid w:val="0034018E"/>
    <w:rsid w:val="00352A62"/>
    <w:rsid w:val="0035671A"/>
    <w:rsid w:val="00356869"/>
    <w:rsid w:val="0036101C"/>
    <w:rsid w:val="00376CD5"/>
    <w:rsid w:val="003770EF"/>
    <w:rsid w:val="00381FA6"/>
    <w:rsid w:val="00383D0A"/>
    <w:rsid w:val="003A73C3"/>
    <w:rsid w:val="003B1452"/>
    <w:rsid w:val="003B3B62"/>
    <w:rsid w:val="003C13E3"/>
    <w:rsid w:val="003C334E"/>
    <w:rsid w:val="003C5D8E"/>
    <w:rsid w:val="003C672A"/>
    <w:rsid w:val="003C7CD1"/>
    <w:rsid w:val="003D7860"/>
    <w:rsid w:val="003F0A5E"/>
    <w:rsid w:val="00430CCC"/>
    <w:rsid w:val="00460519"/>
    <w:rsid w:val="0046143F"/>
    <w:rsid w:val="00461518"/>
    <w:rsid w:val="0046235C"/>
    <w:rsid w:val="0046477E"/>
    <w:rsid w:val="004829F1"/>
    <w:rsid w:val="004A19F9"/>
    <w:rsid w:val="004A5105"/>
    <w:rsid w:val="004C1009"/>
    <w:rsid w:val="004C33BB"/>
    <w:rsid w:val="004C346B"/>
    <w:rsid w:val="004C7FA8"/>
    <w:rsid w:val="004E49FE"/>
    <w:rsid w:val="00505F38"/>
    <w:rsid w:val="00507D2C"/>
    <w:rsid w:val="00525AF0"/>
    <w:rsid w:val="00545DCB"/>
    <w:rsid w:val="00557103"/>
    <w:rsid w:val="005663FA"/>
    <w:rsid w:val="005935A5"/>
    <w:rsid w:val="00593C20"/>
    <w:rsid w:val="005953CE"/>
    <w:rsid w:val="005A08D1"/>
    <w:rsid w:val="005A1305"/>
    <w:rsid w:val="005A248F"/>
    <w:rsid w:val="005A7C5F"/>
    <w:rsid w:val="005B6E0F"/>
    <w:rsid w:val="005D13F1"/>
    <w:rsid w:val="005D6FD6"/>
    <w:rsid w:val="005E6BF9"/>
    <w:rsid w:val="00603C87"/>
    <w:rsid w:val="00606DEF"/>
    <w:rsid w:val="00625223"/>
    <w:rsid w:val="006361AF"/>
    <w:rsid w:val="00643784"/>
    <w:rsid w:val="00660D6F"/>
    <w:rsid w:val="006611AC"/>
    <w:rsid w:val="00671411"/>
    <w:rsid w:val="006716F3"/>
    <w:rsid w:val="00677DFF"/>
    <w:rsid w:val="006A328A"/>
    <w:rsid w:val="006B27CA"/>
    <w:rsid w:val="006B7949"/>
    <w:rsid w:val="006C08D8"/>
    <w:rsid w:val="006C7C27"/>
    <w:rsid w:val="006D3465"/>
    <w:rsid w:val="006D6BB6"/>
    <w:rsid w:val="006E3978"/>
    <w:rsid w:val="006F32CC"/>
    <w:rsid w:val="006F4C37"/>
    <w:rsid w:val="006F6DF1"/>
    <w:rsid w:val="0070295A"/>
    <w:rsid w:val="007030FD"/>
    <w:rsid w:val="00703E17"/>
    <w:rsid w:val="00705083"/>
    <w:rsid w:val="00710EB0"/>
    <w:rsid w:val="00713BB8"/>
    <w:rsid w:val="00723288"/>
    <w:rsid w:val="007276DB"/>
    <w:rsid w:val="0074593D"/>
    <w:rsid w:val="00745FCF"/>
    <w:rsid w:val="00771608"/>
    <w:rsid w:val="0077562B"/>
    <w:rsid w:val="00776BC3"/>
    <w:rsid w:val="00777172"/>
    <w:rsid w:val="00781FBC"/>
    <w:rsid w:val="00782437"/>
    <w:rsid w:val="00783D58"/>
    <w:rsid w:val="00784A5B"/>
    <w:rsid w:val="00785C3A"/>
    <w:rsid w:val="00793A9D"/>
    <w:rsid w:val="007A16BC"/>
    <w:rsid w:val="007A2E20"/>
    <w:rsid w:val="007A7E6D"/>
    <w:rsid w:val="007B1C1B"/>
    <w:rsid w:val="007B434B"/>
    <w:rsid w:val="007B5F59"/>
    <w:rsid w:val="007C1F42"/>
    <w:rsid w:val="007D5D2D"/>
    <w:rsid w:val="007E0446"/>
    <w:rsid w:val="008028BE"/>
    <w:rsid w:val="00802A8F"/>
    <w:rsid w:val="00805257"/>
    <w:rsid w:val="0080603E"/>
    <w:rsid w:val="00812BED"/>
    <w:rsid w:val="00820619"/>
    <w:rsid w:val="00821934"/>
    <w:rsid w:val="00822C07"/>
    <w:rsid w:val="008458CD"/>
    <w:rsid w:val="00845A6D"/>
    <w:rsid w:val="00850363"/>
    <w:rsid w:val="00853BE3"/>
    <w:rsid w:val="00855396"/>
    <w:rsid w:val="00856E14"/>
    <w:rsid w:val="0086107A"/>
    <w:rsid w:val="00863F5E"/>
    <w:rsid w:val="00864237"/>
    <w:rsid w:val="00881FC9"/>
    <w:rsid w:val="00887117"/>
    <w:rsid w:val="00895A3D"/>
    <w:rsid w:val="008A25D8"/>
    <w:rsid w:val="008A2AA0"/>
    <w:rsid w:val="008A3A69"/>
    <w:rsid w:val="008C2DA3"/>
    <w:rsid w:val="008D0A00"/>
    <w:rsid w:val="008D24F9"/>
    <w:rsid w:val="008D70C9"/>
    <w:rsid w:val="009015CB"/>
    <w:rsid w:val="00905C73"/>
    <w:rsid w:val="00905E5D"/>
    <w:rsid w:val="00911AF4"/>
    <w:rsid w:val="00920655"/>
    <w:rsid w:val="0093027F"/>
    <w:rsid w:val="009320F6"/>
    <w:rsid w:val="009404DA"/>
    <w:rsid w:val="009428B0"/>
    <w:rsid w:val="00960D6A"/>
    <w:rsid w:val="009703B3"/>
    <w:rsid w:val="0099137B"/>
    <w:rsid w:val="009A2339"/>
    <w:rsid w:val="009B7C48"/>
    <w:rsid w:val="009D4D66"/>
    <w:rsid w:val="009E340F"/>
    <w:rsid w:val="009E59B9"/>
    <w:rsid w:val="00A01E82"/>
    <w:rsid w:val="00A04B46"/>
    <w:rsid w:val="00A14929"/>
    <w:rsid w:val="00A2213B"/>
    <w:rsid w:val="00A26D83"/>
    <w:rsid w:val="00A27295"/>
    <w:rsid w:val="00A27369"/>
    <w:rsid w:val="00A33431"/>
    <w:rsid w:val="00A337EF"/>
    <w:rsid w:val="00A417CB"/>
    <w:rsid w:val="00A41F59"/>
    <w:rsid w:val="00A518F3"/>
    <w:rsid w:val="00A6363D"/>
    <w:rsid w:val="00A71AAD"/>
    <w:rsid w:val="00A72960"/>
    <w:rsid w:val="00A81426"/>
    <w:rsid w:val="00A8311E"/>
    <w:rsid w:val="00A91393"/>
    <w:rsid w:val="00A9142E"/>
    <w:rsid w:val="00A93C9E"/>
    <w:rsid w:val="00AA7FA6"/>
    <w:rsid w:val="00AB5169"/>
    <w:rsid w:val="00AC0E9D"/>
    <w:rsid w:val="00AC2AD9"/>
    <w:rsid w:val="00AC2B12"/>
    <w:rsid w:val="00AD3C04"/>
    <w:rsid w:val="00AD6546"/>
    <w:rsid w:val="00AE355E"/>
    <w:rsid w:val="00B01222"/>
    <w:rsid w:val="00B01728"/>
    <w:rsid w:val="00B01ACE"/>
    <w:rsid w:val="00B12131"/>
    <w:rsid w:val="00B22141"/>
    <w:rsid w:val="00B54055"/>
    <w:rsid w:val="00B5517B"/>
    <w:rsid w:val="00B70826"/>
    <w:rsid w:val="00B771FF"/>
    <w:rsid w:val="00B83893"/>
    <w:rsid w:val="00B87247"/>
    <w:rsid w:val="00B95851"/>
    <w:rsid w:val="00B95F81"/>
    <w:rsid w:val="00B97DC3"/>
    <w:rsid w:val="00BA6F57"/>
    <w:rsid w:val="00BB3BFE"/>
    <w:rsid w:val="00BB799A"/>
    <w:rsid w:val="00BB7A55"/>
    <w:rsid w:val="00BD4410"/>
    <w:rsid w:val="00BF47E8"/>
    <w:rsid w:val="00C04861"/>
    <w:rsid w:val="00C13666"/>
    <w:rsid w:val="00C15222"/>
    <w:rsid w:val="00C218CB"/>
    <w:rsid w:val="00C2447B"/>
    <w:rsid w:val="00C313A4"/>
    <w:rsid w:val="00C37088"/>
    <w:rsid w:val="00C3732B"/>
    <w:rsid w:val="00C41673"/>
    <w:rsid w:val="00C46841"/>
    <w:rsid w:val="00C63C06"/>
    <w:rsid w:val="00C74C17"/>
    <w:rsid w:val="00C81109"/>
    <w:rsid w:val="00C84EE4"/>
    <w:rsid w:val="00C87E94"/>
    <w:rsid w:val="00CA73D3"/>
    <w:rsid w:val="00CB396B"/>
    <w:rsid w:val="00CB5E88"/>
    <w:rsid w:val="00CD68F2"/>
    <w:rsid w:val="00CF7423"/>
    <w:rsid w:val="00D13272"/>
    <w:rsid w:val="00D27DAB"/>
    <w:rsid w:val="00D3511B"/>
    <w:rsid w:val="00D412DF"/>
    <w:rsid w:val="00D4359D"/>
    <w:rsid w:val="00D47ACD"/>
    <w:rsid w:val="00D66A51"/>
    <w:rsid w:val="00D71B11"/>
    <w:rsid w:val="00D73E64"/>
    <w:rsid w:val="00D8081F"/>
    <w:rsid w:val="00D81B9A"/>
    <w:rsid w:val="00D97C4F"/>
    <w:rsid w:val="00DB04A4"/>
    <w:rsid w:val="00DB4DEE"/>
    <w:rsid w:val="00DC1972"/>
    <w:rsid w:val="00DC2D48"/>
    <w:rsid w:val="00DC2F34"/>
    <w:rsid w:val="00DC426B"/>
    <w:rsid w:val="00DC7395"/>
    <w:rsid w:val="00DF2959"/>
    <w:rsid w:val="00DF4610"/>
    <w:rsid w:val="00DF6E7C"/>
    <w:rsid w:val="00E13EE6"/>
    <w:rsid w:val="00E345EE"/>
    <w:rsid w:val="00E403D8"/>
    <w:rsid w:val="00E46004"/>
    <w:rsid w:val="00E518D1"/>
    <w:rsid w:val="00E53940"/>
    <w:rsid w:val="00E80631"/>
    <w:rsid w:val="00E86244"/>
    <w:rsid w:val="00E902BB"/>
    <w:rsid w:val="00EB099F"/>
    <w:rsid w:val="00EC1EE8"/>
    <w:rsid w:val="00ED10FF"/>
    <w:rsid w:val="00ED19E2"/>
    <w:rsid w:val="00ED46F5"/>
    <w:rsid w:val="00EF5569"/>
    <w:rsid w:val="00F1449E"/>
    <w:rsid w:val="00F25DD7"/>
    <w:rsid w:val="00F505AE"/>
    <w:rsid w:val="00F56CEF"/>
    <w:rsid w:val="00F56F31"/>
    <w:rsid w:val="00F5791D"/>
    <w:rsid w:val="00F7733A"/>
    <w:rsid w:val="00F9197D"/>
    <w:rsid w:val="00F943CB"/>
    <w:rsid w:val="00FA7688"/>
    <w:rsid w:val="00FB03DE"/>
    <w:rsid w:val="00FB052B"/>
    <w:rsid w:val="00FD17FB"/>
    <w:rsid w:val="00FE3058"/>
    <w:rsid w:val="00FF41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8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next w:val="LightShading"/>
    <w:uiPriority w:val="60"/>
    <w:rsid w:val="00863F5E"/>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unhideWhenUsed/>
    <w:rsid w:val="00863F5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83893"/>
    <w:rPr>
      <w:color w:val="0563C1" w:themeColor="hyperlink"/>
      <w:u w:val="single"/>
    </w:rPr>
  </w:style>
  <w:style w:type="paragraph" w:styleId="ListParagraph">
    <w:name w:val="List Paragraph"/>
    <w:basedOn w:val="Normal"/>
    <w:uiPriority w:val="34"/>
    <w:qFormat/>
    <w:rsid w:val="00F56CEF"/>
    <w:pPr>
      <w:ind w:left="720"/>
      <w:contextualSpacing/>
    </w:pPr>
  </w:style>
  <w:style w:type="paragraph" w:styleId="FootnoteText">
    <w:name w:val="footnote text"/>
    <w:basedOn w:val="Normal"/>
    <w:link w:val="FootnoteTextChar"/>
    <w:uiPriority w:val="99"/>
    <w:semiHidden/>
    <w:unhideWhenUsed/>
    <w:rsid w:val="0046477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46477E"/>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46477E"/>
    <w:rPr>
      <w:vertAlign w:val="superscript"/>
    </w:rPr>
  </w:style>
  <w:style w:type="paragraph" w:styleId="Footer">
    <w:name w:val="footer"/>
    <w:basedOn w:val="Normal"/>
    <w:link w:val="FooterChar"/>
    <w:uiPriority w:val="99"/>
    <w:unhideWhenUsed/>
    <w:rsid w:val="0046477E"/>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6477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647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77E"/>
    <w:rPr>
      <w:rFonts w:ascii="Tahoma" w:hAnsi="Tahoma" w:cs="Tahoma"/>
      <w:sz w:val="16"/>
      <w:szCs w:val="16"/>
    </w:rPr>
  </w:style>
  <w:style w:type="table" w:styleId="LightShading-Accent1">
    <w:name w:val="Light Shading Accent 1"/>
    <w:basedOn w:val="TableNormal"/>
    <w:uiPriority w:val="60"/>
    <w:rsid w:val="0046477E"/>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rsid w:val="00430CC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ListTable1Light-Accent21">
    <w:name w:val="List Table 1 Light - Accent 21"/>
    <w:basedOn w:val="TableNormal"/>
    <w:uiPriority w:val="46"/>
    <w:rsid w:val="00D13272"/>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Grid">
    <w:name w:val="Table Grid"/>
    <w:basedOn w:val="TableNormal"/>
    <w:uiPriority w:val="39"/>
    <w:rsid w:val="00C46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6869"/>
    <w:rPr>
      <w:color w:val="954F72" w:themeColor="followedHyperlink"/>
      <w:u w:val="single"/>
    </w:rPr>
  </w:style>
  <w:style w:type="paragraph" w:styleId="Header">
    <w:name w:val="header"/>
    <w:basedOn w:val="Normal"/>
    <w:link w:val="HeaderChar"/>
    <w:uiPriority w:val="99"/>
    <w:unhideWhenUsed/>
    <w:rsid w:val="00C136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3666"/>
  </w:style>
  <w:style w:type="table" w:customStyle="1" w:styleId="LightShading-Accent41">
    <w:name w:val="Light Shading - Accent 41"/>
    <w:basedOn w:val="TableNormal"/>
    <w:next w:val="LightShading-Accent4"/>
    <w:uiPriority w:val="60"/>
    <w:rsid w:val="00376CD5"/>
    <w:pPr>
      <w:spacing w:after="0" w:line="240" w:lineRule="auto"/>
    </w:pPr>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4">
    <w:name w:val="Light Shading Accent 4"/>
    <w:basedOn w:val="TableNormal"/>
    <w:uiPriority w:val="60"/>
    <w:rsid w:val="00376CD5"/>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CommentReference">
    <w:name w:val="annotation reference"/>
    <w:basedOn w:val="DefaultParagraphFont"/>
    <w:uiPriority w:val="99"/>
    <w:semiHidden/>
    <w:unhideWhenUsed/>
    <w:rsid w:val="004E49FE"/>
    <w:rPr>
      <w:sz w:val="16"/>
      <w:szCs w:val="16"/>
    </w:rPr>
  </w:style>
  <w:style w:type="paragraph" w:styleId="CommentText">
    <w:name w:val="annotation text"/>
    <w:basedOn w:val="Normal"/>
    <w:link w:val="CommentTextChar"/>
    <w:uiPriority w:val="99"/>
    <w:semiHidden/>
    <w:unhideWhenUsed/>
    <w:rsid w:val="004E49FE"/>
    <w:pPr>
      <w:spacing w:line="240" w:lineRule="auto"/>
    </w:pPr>
    <w:rPr>
      <w:sz w:val="20"/>
      <w:szCs w:val="20"/>
    </w:rPr>
  </w:style>
  <w:style w:type="character" w:customStyle="1" w:styleId="CommentTextChar">
    <w:name w:val="Comment Text Char"/>
    <w:basedOn w:val="DefaultParagraphFont"/>
    <w:link w:val="CommentText"/>
    <w:uiPriority w:val="99"/>
    <w:semiHidden/>
    <w:rsid w:val="004E49FE"/>
    <w:rPr>
      <w:sz w:val="20"/>
      <w:szCs w:val="20"/>
    </w:rPr>
  </w:style>
  <w:style w:type="paragraph" w:styleId="CommentSubject">
    <w:name w:val="annotation subject"/>
    <w:basedOn w:val="CommentText"/>
    <w:next w:val="CommentText"/>
    <w:link w:val="CommentSubjectChar"/>
    <w:uiPriority w:val="99"/>
    <w:semiHidden/>
    <w:unhideWhenUsed/>
    <w:rsid w:val="004E49FE"/>
    <w:rPr>
      <w:b/>
      <w:bCs/>
    </w:rPr>
  </w:style>
  <w:style w:type="character" w:customStyle="1" w:styleId="CommentSubjectChar">
    <w:name w:val="Comment Subject Char"/>
    <w:basedOn w:val="CommentTextChar"/>
    <w:link w:val="CommentSubject"/>
    <w:uiPriority w:val="99"/>
    <w:semiHidden/>
    <w:rsid w:val="004E49FE"/>
    <w:rPr>
      <w:b/>
      <w:bCs/>
      <w:sz w:val="20"/>
      <w:szCs w:val="20"/>
    </w:rPr>
  </w:style>
  <w:style w:type="character" w:styleId="Strong">
    <w:name w:val="Strong"/>
    <w:basedOn w:val="DefaultParagraphFont"/>
    <w:uiPriority w:val="22"/>
    <w:qFormat/>
    <w:rsid w:val="00A2729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8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next w:val="LightShading"/>
    <w:uiPriority w:val="60"/>
    <w:rsid w:val="00863F5E"/>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unhideWhenUsed/>
    <w:rsid w:val="00863F5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83893"/>
    <w:rPr>
      <w:color w:val="0563C1" w:themeColor="hyperlink"/>
      <w:u w:val="single"/>
    </w:rPr>
  </w:style>
  <w:style w:type="paragraph" w:styleId="ListParagraph">
    <w:name w:val="List Paragraph"/>
    <w:basedOn w:val="Normal"/>
    <w:uiPriority w:val="34"/>
    <w:qFormat/>
    <w:rsid w:val="00F56CEF"/>
    <w:pPr>
      <w:ind w:left="720"/>
      <w:contextualSpacing/>
    </w:pPr>
  </w:style>
  <w:style w:type="paragraph" w:styleId="FootnoteText">
    <w:name w:val="footnote text"/>
    <w:basedOn w:val="Normal"/>
    <w:link w:val="FootnoteTextChar"/>
    <w:uiPriority w:val="99"/>
    <w:semiHidden/>
    <w:unhideWhenUsed/>
    <w:rsid w:val="0046477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46477E"/>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46477E"/>
    <w:rPr>
      <w:vertAlign w:val="superscript"/>
    </w:rPr>
  </w:style>
  <w:style w:type="paragraph" w:styleId="Footer">
    <w:name w:val="footer"/>
    <w:basedOn w:val="Normal"/>
    <w:link w:val="FooterChar"/>
    <w:uiPriority w:val="99"/>
    <w:unhideWhenUsed/>
    <w:rsid w:val="0046477E"/>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6477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647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77E"/>
    <w:rPr>
      <w:rFonts w:ascii="Tahoma" w:hAnsi="Tahoma" w:cs="Tahoma"/>
      <w:sz w:val="16"/>
      <w:szCs w:val="16"/>
    </w:rPr>
  </w:style>
  <w:style w:type="table" w:styleId="LightShading-Accent1">
    <w:name w:val="Light Shading Accent 1"/>
    <w:basedOn w:val="TableNormal"/>
    <w:uiPriority w:val="60"/>
    <w:rsid w:val="0046477E"/>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rsid w:val="00430CC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ListTable1Light-Accent21">
    <w:name w:val="List Table 1 Light - Accent 21"/>
    <w:basedOn w:val="TableNormal"/>
    <w:uiPriority w:val="46"/>
    <w:rsid w:val="00D13272"/>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Grid">
    <w:name w:val="Table Grid"/>
    <w:basedOn w:val="TableNormal"/>
    <w:uiPriority w:val="39"/>
    <w:rsid w:val="00C46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6869"/>
    <w:rPr>
      <w:color w:val="954F72" w:themeColor="followedHyperlink"/>
      <w:u w:val="single"/>
    </w:rPr>
  </w:style>
  <w:style w:type="paragraph" w:styleId="Header">
    <w:name w:val="header"/>
    <w:basedOn w:val="Normal"/>
    <w:link w:val="HeaderChar"/>
    <w:uiPriority w:val="99"/>
    <w:unhideWhenUsed/>
    <w:rsid w:val="00C136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3666"/>
  </w:style>
  <w:style w:type="table" w:customStyle="1" w:styleId="LightShading-Accent41">
    <w:name w:val="Light Shading - Accent 41"/>
    <w:basedOn w:val="TableNormal"/>
    <w:next w:val="LightShading-Accent4"/>
    <w:uiPriority w:val="60"/>
    <w:rsid w:val="00376CD5"/>
    <w:pPr>
      <w:spacing w:after="0" w:line="240" w:lineRule="auto"/>
    </w:pPr>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4">
    <w:name w:val="Light Shading Accent 4"/>
    <w:basedOn w:val="TableNormal"/>
    <w:uiPriority w:val="60"/>
    <w:rsid w:val="00376CD5"/>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CommentReference">
    <w:name w:val="annotation reference"/>
    <w:basedOn w:val="DefaultParagraphFont"/>
    <w:uiPriority w:val="99"/>
    <w:semiHidden/>
    <w:unhideWhenUsed/>
    <w:rsid w:val="004E49FE"/>
    <w:rPr>
      <w:sz w:val="16"/>
      <w:szCs w:val="16"/>
    </w:rPr>
  </w:style>
  <w:style w:type="paragraph" w:styleId="CommentText">
    <w:name w:val="annotation text"/>
    <w:basedOn w:val="Normal"/>
    <w:link w:val="CommentTextChar"/>
    <w:uiPriority w:val="99"/>
    <w:semiHidden/>
    <w:unhideWhenUsed/>
    <w:rsid w:val="004E49FE"/>
    <w:pPr>
      <w:spacing w:line="240" w:lineRule="auto"/>
    </w:pPr>
    <w:rPr>
      <w:sz w:val="20"/>
      <w:szCs w:val="20"/>
    </w:rPr>
  </w:style>
  <w:style w:type="character" w:customStyle="1" w:styleId="CommentTextChar">
    <w:name w:val="Comment Text Char"/>
    <w:basedOn w:val="DefaultParagraphFont"/>
    <w:link w:val="CommentText"/>
    <w:uiPriority w:val="99"/>
    <w:semiHidden/>
    <w:rsid w:val="004E49FE"/>
    <w:rPr>
      <w:sz w:val="20"/>
      <w:szCs w:val="20"/>
    </w:rPr>
  </w:style>
  <w:style w:type="paragraph" w:styleId="CommentSubject">
    <w:name w:val="annotation subject"/>
    <w:basedOn w:val="CommentText"/>
    <w:next w:val="CommentText"/>
    <w:link w:val="CommentSubjectChar"/>
    <w:uiPriority w:val="99"/>
    <w:semiHidden/>
    <w:unhideWhenUsed/>
    <w:rsid w:val="004E49FE"/>
    <w:rPr>
      <w:b/>
      <w:bCs/>
    </w:rPr>
  </w:style>
  <w:style w:type="character" w:customStyle="1" w:styleId="CommentSubjectChar">
    <w:name w:val="Comment Subject Char"/>
    <w:basedOn w:val="CommentTextChar"/>
    <w:link w:val="CommentSubject"/>
    <w:uiPriority w:val="99"/>
    <w:semiHidden/>
    <w:rsid w:val="004E49FE"/>
    <w:rPr>
      <w:b/>
      <w:bCs/>
      <w:sz w:val="20"/>
      <w:szCs w:val="20"/>
    </w:rPr>
  </w:style>
  <w:style w:type="character" w:styleId="Strong">
    <w:name w:val="Strong"/>
    <w:basedOn w:val="DefaultParagraphFont"/>
    <w:uiPriority w:val="22"/>
    <w:qFormat/>
    <w:rsid w:val="00A272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2392">
      <w:bodyDiv w:val="1"/>
      <w:marLeft w:val="0"/>
      <w:marRight w:val="0"/>
      <w:marTop w:val="0"/>
      <w:marBottom w:val="0"/>
      <w:divBdr>
        <w:top w:val="none" w:sz="0" w:space="0" w:color="auto"/>
        <w:left w:val="none" w:sz="0" w:space="0" w:color="auto"/>
        <w:bottom w:val="none" w:sz="0" w:space="0" w:color="auto"/>
        <w:right w:val="none" w:sz="0" w:space="0" w:color="auto"/>
      </w:divBdr>
    </w:div>
    <w:div w:id="71976648">
      <w:bodyDiv w:val="1"/>
      <w:marLeft w:val="0"/>
      <w:marRight w:val="0"/>
      <w:marTop w:val="0"/>
      <w:marBottom w:val="0"/>
      <w:divBdr>
        <w:top w:val="none" w:sz="0" w:space="0" w:color="auto"/>
        <w:left w:val="none" w:sz="0" w:space="0" w:color="auto"/>
        <w:bottom w:val="none" w:sz="0" w:space="0" w:color="auto"/>
        <w:right w:val="none" w:sz="0" w:space="0" w:color="auto"/>
      </w:divBdr>
    </w:div>
    <w:div w:id="80106643">
      <w:bodyDiv w:val="1"/>
      <w:marLeft w:val="0"/>
      <w:marRight w:val="0"/>
      <w:marTop w:val="0"/>
      <w:marBottom w:val="0"/>
      <w:divBdr>
        <w:top w:val="none" w:sz="0" w:space="0" w:color="auto"/>
        <w:left w:val="none" w:sz="0" w:space="0" w:color="auto"/>
        <w:bottom w:val="none" w:sz="0" w:space="0" w:color="auto"/>
        <w:right w:val="none" w:sz="0" w:space="0" w:color="auto"/>
      </w:divBdr>
    </w:div>
    <w:div w:id="89665963">
      <w:bodyDiv w:val="1"/>
      <w:marLeft w:val="0"/>
      <w:marRight w:val="0"/>
      <w:marTop w:val="0"/>
      <w:marBottom w:val="0"/>
      <w:divBdr>
        <w:top w:val="none" w:sz="0" w:space="0" w:color="auto"/>
        <w:left w:val="none" w:sz="0" w:space="0" w:color="auto"/>
        <w:bottom w:val="none" w:sz="0" w:space="0" w:color="auto"/>
        <w:right w:val="none" w:sz="0" w:space="0" w:color="auto"/>
      </w:divBdr>
    </w:div>
    <w:div w:id="187454870">
      <w:bodyDiv w:val="1"/>
      <w:marLeft w:val="0"/>
      <w:marRight w:val="0"/>
      <w:marTop w:val="0"/>
      <w:marBottom w:val="0"/>
      <w:divBdr>
        <w:top w:val="none" w:sz="0" w:space="0" w:color="auto"/>
        <w:left w:val="none" w:sz="0" w:space="0" w:color="auto"/>
        <w:bottom w:val="none" w:sz="0" w:space="0" w:color="auto"/>
        <w:right w:val="none" w:sz="0" w:space="0" w:color="auto"/>
      </w:divBdr>
    </w:div>
    <w:div w:id="246231833">
      <w:bodyDiv w:val="1"/>
      <w:marLeft w:val="0"/>
      <w:marRight w:val="0"/>
      <w:marTop w:val="0"/>
      <w:marBottom w:val="0"/>
      <w:divBdr>
        <w:top w:val="none" w:sz="0" w:space="0" w:color="auto"/>
        <w:left w:val="none" w:sz="0" w:space="0" w:color="auto"/>
        <w:bottom w:val="none" w:sz="0" w:space="0" w:color="auto"/>
        <w:right w:val="none" w:sz="0" w:space="0" w:color="auto"/>
      </w:divBdr>
    </w:div>
    <w:div w:id="291832601">
      <w:bodyDiv w:val="1"/>
      <w:marLeft w:val="0"/>
      <w:marRight w:val="0"/>
      <w:marTop w:val="0"/>
      <w:marBottom w:val="0"/>
      <w:divBdr>
        <w:top w:val="none" w:sz="0" w:space="0" w:color="auto"/>
        <w:left w:val="none" w:sz="0" w:space="0" w:color="auto"/>
        <w:bottom w:val="none" w:sz="0" w:space="0" w:color="auto"/>
        <w:right w:val="none" w:sz="0" w:space="0" w:color="auto"/>
      </w:divBdr>
    </w:div>
    <w:div w:id="392315406">
      <w:bodyDiv w:val="1"/>
      <w:marLeft w:val="0"/>
      <w:marRight w:val="0"/>
      <w:marTop w:val="0"/>
      <w:marBottom w:val="0"/>
      <w:divBdr>
        <w:top w:val="none" w:sz="0" w:space="0" w:color="auto"/>
        <w:left w:val="none" w:sz="0" w:space="0" w:color="auto"/>
        <w:bottom w:val="none" w:sz="0" w:space="0" w:color="auto"/>
        <w:right w:val="none" w:sz="0" w:space="0" w:color="auto"/>
      </w:divBdr>
    </w:div>
    <w:div w:id="437261761">
      <w:bodyDiv w:val="1"/>
      <w:marLeft w:val="0"/>
      <w:marRight w:val="0"/>
      <w:marTop w:val="0"/>
      <w:marBottom w:val="0"/>
      <w:divBdr>
        <w:top w:val="none" w:sz="0" w:space="0" w:color="auto"/>
        <w:left w:val="none" w:sz="0" w:space="0" w:color="auto"/>
        <w:bottom w:val="none" w:sz="0" w:space="0" w:color="auto"/>
        <w:right w:val="none" w:sz="0" w:space="0" w:color="auto"/>
      </w:divBdr>
    </w:div>
    <w:div w:id="532620675">
      <w:bodyDiv w:val="1"/>
      <w:marLeft w:val="0"/>
      <w:marRight w:val="0"/>
      <w:marTop w:val="0"/>
      <w:marBottom w:val="0"/>
      <w:divBdr>
        <w:top w:val="none" w:sz="0" w:space="0" w:color="auto"/>
        <w:left w:val="none" w:sz="0" w:space="0" w:color="auto"/>
        <w:bottom w:val="none" w:sz="0" w:space="0" w:color="auto"/>
        <w:right w:val="none" w:sz="0" w:space="0" w:color="auto"/>
      </w:divBdr>
    </w:div>
    <w:div w:id="538326225">
      <w:bodyDiv w:val="1"/>
      <w:marLeft w:val="0"/>
      <w:marRight w:val="0"/>
      <w:marTop w:val="0"/>
      <w:marBottom w:val="0"/>
      <w:divBdr>
        <w:top w:val="none" w:sz="0" w:space="0" w:color="auto"/>
        <w:left w:val="none" w:sz="0" w:space="0" w:color="auto"/>
        <w:bottom w:val="none" w:sz="0" w:space="0" w:color="auto"/>
        <w:right w:val="none" w:sz="0" w:space="0" w:color="auto"/>
      </w:divBdr>
    </w:div>
    <w:div w:id="558397469">
      <w:bodyDiv w:val="1"/>
      <w:marLeft w:val="0"/>
      <w:marRight w:val="0"/>
      <w:marTop w:val="0"/>
      <w:marBottom w:val="0"/>
      <w:divBdr>
        <w:top w:val="none" w:sz="0" w:space="0" w:color="auto"/>
        <w:left w:val="none" w:sz="0" w:space="0" w:color="auto"/>
        <w:bottom w:val="none" w:sz="0" w:space="0" w:color="auto"/>
        <w:right w:val="none" w:sz="0" w:space="0" w:color="auto"/>
      </w:divBdr>
    </w:div>
    <w:div w:id="626087269">
      <w:bodyDiv w:val="1"/>
      <w:marLeft w:val="0"/>
      <w:marRight w:val="0"/>
      <w:marTop w:val="0"/>
      <w:marBottom w:val="0"/>
      <w:divBdr>
        <w:top w:val="none" w:sz="0" w:space="0" w:color="auto"/>
        <w:left w:val="none" w:sz="0" w:space="0" w:color="auto"/>
        <w:bottom w:val="none" w:sz="0" w:space="0" w:color="auto"/>
        <w:right w:val="none" w:sz="0" w:space="0" w:color="auto"/>
      </w:divBdr>
    </w:div>
    <w:div w:id="844630567">
      <w:bodyDiv w:val="1"/>
      <w:marLeft w:val="0"/>
      <w:marRight w:val="0"/>
      <w:marTop w:val="0"/>
      <w:marBottom w:val="0"/>
      <w:divBdr>
        <w:top w:val="none" w:sz="0" w:space="0" w:color="auto"/>
        <w:left w:val="none" w:sz="0" w:space="0" w:color="auto"/>
        <w:bottom w:val="none" w:sz="0" w:space="0" w:color="auto"/>
        <w:right w:val="none" w:sz="0" w:space="0" w:color="auto"/>
      </w:divBdr>
    </w:div>
    <w:div w:id="1006133717">
      <w:bodyDiv w:val="1"/>
      <w:marLeft w:val="0"/>
      <w:marRight w:val="0"/>
      <w:marTop w:val="0"/>
      <w:marBottom w:val="0"/>
      <w:divBdr>
        <w:top w:val="none" w:sz="0" w:space="0" w:color="auto"/>
        <w:left w:val="none" w:sz="0" w:space="0" w:color="auto"/>
        <w:bottom w:val="none" w:sz="0" w:space="0" w:color="auto"/>
        <w:right w:val="none" w:sz="0" w:space="0" w:color="auto"/>
      </w:divBdr>
    </w:div>
    <w:div w:id="1055197220">
      <w:bodyDiv w:val="1"/>
      <w:marLeft w:val="0"/>
      <w:marRight w:val="0"/>
      <w:marTop w:val="0"/>
      <w:marBottom w:val="0"/>
      <w:divBdr>
        <w:top w:val="none" w:sz="0" w:space="0" w:color="auto"/>
        <w:left w:val="none" w:sz="0" w:space="0" w:color="auto"/>
        <w:bottom w:val="none" w:sz="0" w:space="0" w:color="auto"/>
        <w:right w:val="none" w:sz="0" w:space="0" w:color="auto"/>
      </w:divBdr>
    </w:div>
    <w:div w:id="1073545296">
      <w:bodyDiv w:val="1"/>
      <w:marLeft w:val="0"/>
      <w:marRight w:val="0"/>
      <w:marTop w:val="0"/>
      <w:marBottom w:val="0"/>
      <w:divBdr>
        <w:top w:val="none" w:sz="0" w:space="0" w:color="auto"/>
        <w:left w:val="none" w:sz="0" w:space="0" w:color="auto"/>
        <w:bottom w:val="none" w:sz="0" w:space="0" w:color="auto"/>
        <w:right w:val="none" w:sz="0" w:space="0" w:color="auto"/>
      </w:divBdr>
    </w:div>
    <w:div w:id="1211721330">
      <w:bodyDiv w:val="1"/>
      <w:marLeft w:val="0"/>
      <w:marRight w:val="0"/>
      <w:marTop w:val="0"/>
      <w:marBottom w:val="0"/>
      <w:divBdr>
        <w:top w:val="none" w:sz="0" w:space="0" w:color="auto"/>
        <w:left w:val="none" w:sz="0" w:space="0" w:color="auto"/>
        <w:bottom w:val="none" w:sz="0" w:space="0" w:color="auto"/>
        <w:right w:val="none" w:sz="0" w:space="0" w:color="auto"/>
      </w:divBdr>
    </w:div>
    <w:div w:id="1222984476">
      <w:bodyDiv w:val="1"/>
      <w:marLeft w:val="0"/>
      <w:marRight w:val="0"/>
      <w:marTop w:val="0"/>
      <w:marBottom w:val="0"/>
      <w:divBdr>
        <w:top w:val="none" w:sz="0" w:space="0" w:color="auto"/>
        <w:left w:val="none" w:sz="0" w:space="0" w:color="auto"/>
        <w:bottom w:val="none" w:sz="0" w:space="0" w:color="auto"/>
        <w:right w:val="none" w:sz="0" w:space="0" w:color="auto"/>
      </w:divBdr>
    </w:div>
    <w:div w:id="1343245287">
      <w:bodyDiv w:val="1"/>
      <w:marLeft w:val="0"/>
      <w:marRight w:val="0"/>
      <w:marTop w:val="0"/>
      <w:marBottom w:val="0"/>
      <w:divBdr>
        <w:top w:val="none" w:sz="0" w:space="0" w:color="auto"/>
        <w:left w:val="none" w:sz="0" w:space="0" w:color="auto"/>
        <w:bottom w:val="none" w:sz="0" w:space="0" w:color="auto"/>
        <w:right w:val="none" w:sz="0" w:space="0" w:color="auto"/>
      </w:divBdr>
    </w:div>
    <w:div w:id="1390225453">
      <w:bodyDiv w:val="1"/>
      <w:marLeft w:val="0"/>
      <w:marRight w:val="0"/>
      <w:marTop w:val="0"/>
      <w:marBottom w:val="0"/>
      <w:divBdr>
        <w:top w:val="none" w:sz="0" w:space="0" w:color="auto"/>
        <w:left w:val="none" w:sz="0" w:space="0" w:color="auto"/>
        <w:bottom w:val="none" w:sz="0" w:space="0" w:color="auto"/>
        <w:right w:val="none" w:sz="0" w:space="0" w:color="auto"/>
      </w:divBdr>
    </w:div>
    <w:div w:id="1400404904">
      <w:bodyDiv w:val="1"/>
      <w:marLeft w:val="0"/>
      <w:marRight w:val="0"/>
      <w:marTop w:val="0"/>
      <w:marBottom w:val="0"/>
      <w:divBdr>
        <w:top w:val="none" w:sz="0" w:space="0" w:color="auto"/>
        <w:left w:val="none" w:sz="0" w:space="0" w:color="auto"/>
        <w:bottom w:val="none" w:sz="0" w:space="0" w:color="auto"/>
        <w:right w:val="none" w:sz="0" w:space="0" w:color="auto"/>
      </w:divBdr>
    </w:div>
    <w:div w:id="1424954189">
      <w:bodyDiv w:val="1"/>
      <w:marLeft w:val="0"/>
      <w:marRight w:val="0"/>
      <w:marTop w:val="0"/>
      <w:marBottom w:val="0"/>
      <w:divBdr>
        <w:top w:val="none" w:sz="0" w:space="0" w:color="auto"/>
        <w:left w:val="none" w:sz="0" w:space="0" w:color="auto"/>
        <w:bottom w:val="none" w:sz="0" w:space="0" w:color="auto"/>
        <w:right w:val="none" w:sz="0" w:space="0" w:color="auto"/>
      </w:divBdr>
    </w:div>
    <w:div w:id="1436484036">
      <w:bodyDiv w:val="1"/>
      <w:marLeft w:val="0"/>
      <w:marRight w:val="0"/>
      <w:marTop w:val="0"/>
      <w:marBottom w:val="0"/>
      <w:divBdr>
        <w:top w:val="none" w:sz="0" w:space="0" w:color="auto"/>
        <w:left w:val="none" w:sz="0" w:space="0" w:color="auto"/>
        <w:bottom w:val="none" w:sz="0" w:space="0" w:color="auto"/>
        <w:right w:val="none" w:sz="0" w:space="0" w:color="auto"/>
      </w:divBdr>
    </w:div>
    <w:div w:id="1482456716">
      <w:bodyDiv w:val="1"/>
      <w:marLeft w:val="0"/>
      <w:marRight w:val="0"/>
      <w:marTop w:val="0"/>
      <w:marBottom w:val="0"/>
      <w:divBdr>
        <w:top w:val="none" w:sz="0" w:space="0" w:color="auto"/>
        <w:left w:val="none" w:sz="0" w:space="0" w:color="auto"/>
        <w:bottom w:val="none" w:sz="0" w:space="0" w:color="auto"/>
        <w:right w:val="none" w:sz="0" w:space="0" w:color="auto"/>
      </w:divBdr>
    </w:div>
    <w:div w:id="1491556152">
      <w:bodyDiv w:val="1"/>
      <w:marLeft w:val="0"/>
      <w:marRight w:val="0"/>
      <w:marTop w:val="0"/>
      <w:marBottom w:val="0"/>
      <w:divBdr>
        <w:top w:val="none" w:sz="0" w:space="0" w:color="auto"/>
        <w:left w:val="none" w:sz="0" w:space="0" w:color="auto"/>
        <w:bottom w:val="none" w:sz="0" w:space="0" w:color="auto"/>
        <w:right w:val="none" w:sz="0" w:space="0" w:color="auto"/>
      </w:divBdr>
    </w:div>
    <w:div w:id="1590309755">
      <w:bodyDiv w:val="1"/>
      <w:marLeft w:val="0"/>
      <w:marRight w:val="0"/>
      <w:marTop w:val="0"/>
      <w:marBottom w:val="0"/>
      <w:divBdr>
        <w:top w:val="none" w:sz="0" w:space="0" w:color="auto"/>
        <w:left w:val="none" w:sz="0" w:space="0" w:color="auto"/>
        <w:bottom w:val="none" w:sz="0" w:space="0" w:color="auto"/>
        <w:right w:val="none" w:sz="0" w:space="0" w:color="auto"/>
      </w:divBdr>
    </w:div>
    <w:div w:id="1664047179">
      <w:bodyDiv w:val="1"/>
      <w:marLeft w:val="0"/>
      <w:marRight w:val="0"/>
      <w:marTop w:val="0"/>
      <w:marBottom w:val="0"/>
      <w:divBdr>
        <w:top w:val="none" w:sz="0" w:space="0" w:color="auto"/>
        <w:left w:val="none" w:sz="0" w:space="0" w:color="auto"/>
        <w:bottom w:val="none" w:sz="0" w:space="0" w:color="auto"/>
        <w:right w:val="none" w:sz="0" w:space="0" w:color="auto"/>
      </w:divBdr>
    </w:div>
    <w:div w:id="1673024796">
      <w:bodyDiv w:val="1"/>
      <w:marLeft w:val="0"/>
      <w:marRight w:val="0"/>
      <w:marTop w:val="0"/>
      <w:marBottom w:val="0"/>
      <w:divBdr>
        <w:top w:val="none" w:sz="0" w:space="0" w:color="auto"/>
        <w:left w:val="none" w:sz="0" w:space="0" w:color="auto"/>
        <w:bottom w:val="none" w:sz="0" w:space="0" w:color="auto"/>
        <w:right w:val="none" w:sz="0" w:space="0" w:color="auto"/>
      </w:divBdr>
    </w:div>
    <w:div w:id="1765763048">
      <w:bodyDiv w:val="1"/>
      <w:marLeft w:val="0"/>
      <w:marRight w:val="0"/>
      <w:marTop w:val="0"/>
      <w:marBottom w:val="0"/>
      <w:divBdr>
        <w:top w:val="none" w:sz="0" w:space="0" w:color="auto"/>
        <w:left w:val="none" w:sz="0" w:space="0" w:color="auto"/>
        <w:bottom w:val="none" w:sz="0" w:space="0" w:color="auto"/>
        <w:right w:val="none" w:sz="0" w:space="0" w:color="auto"/>
      </w:divBdr>
    </w:div>
    <w:div w:id="1875654843">
      <w:bodyDiv w:val="1"/>
      <w:marLeft w:val="0"/>
      <w:marRight w:val="0"/>
      <w:marTop w:val="0"/>
      <w:marBottom w:val="0"/>
      <w:divBdr>
        <w:top w:val="none" w:sz="0" w:space="0" w:color="auto"/>
        <w:left w:val="none" w:sz="0" w:space="0" w:color="auto"/>
        <w:bottom w:val="none" w:sz="0" w:space="0" w:color="auto"/>
        <w:right w:val="none" w:sz="0" w:space="0" w:color="auto"/>
      </w:divBdr>
    </w:div>
    <w:div w:id="2041666867">
      <w:bodyDiv w:val="1"/>
      <w:marLeft w:val="0"/>
      <w:marRight w:val="0"/>
      <w:marTop w:val="0"/>
      <w:marBottom w:val="0"/>
      <w:divBdr>
        <w:top w:val="none" w:sz="0" w:space="0" w:color="auto"/>
        <w:left w:val="none" w:sz="0" w:space="0" w:color="auto"/>
        <w:bottom w:val="none" w:sz="0" w:space="0" w:color="auto"/>
        <w:right w:val="none" w:sz="0" w:space="0" w:color="auto"/>
      </w:divBdr>
    </w:div>
    <w:div w:id="2102291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chart" Target="charts/chart5.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akirz2\AppData\Local\Microsoft\Windows\Temporary%20Internet%20Files\Content.Outlook\PT75M3G2\SCEOS%20Nontopical%20figure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akirz2\Desktop\FY%2014%20Reports\SCEOS_Spring14\graphs_Fall2014.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akirz2\Desktop\FY%2014%20Reports\SCEOS_Spring14\graphs_Fall2014.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Figure 1:  Intensity Index Scores of expectations about overall Sangamon County, firm's sector, and own firm across time</a:t>
            </a:r>
          </a:p>
        </c:rich>
      </c:tx>
      <c:overlay val="1"/>
    </c:title>
    <c:autoTitleDeleted val="0"/>
    <c:plotArea>
      <c:layout>
        <c:manualLayout>
          <c:layoutTarget val="inner"/>
          <c:xMode val="edge"/>
          <c:yMode val="edge"/>
          <c:x val="5.8069614089758213E-2"/>
          <c:y val="3.580711082701378E-2"/>
          <c:w val="0.93721896070411692"/>
          <c:h val="0.79320277769706826"/>
        </c:manualLayout>
      </c:layout>
      <c:lineChart>
        <c:grouping val="standard"/>
        <c:varyColors val="0"/>
        <c:ser>
          <c:idx val="0"/>
          <c:order val="0"/>
          <c:tx>
            <c:strRef>
              <c:f>Sheet2!$A$2</c:f>
              <c:strCache>
                <c:ptCount val="1"/>
                <c:pt idx="0">
                  <c:v>Sangamon County local economy</c:v>
                </c:pt>
              </c:strCache>
            </c:strRef>
          </c:tx>
          <c:spPr>
            <a:ln>
              <a:solidFill>
                <a:schemeClr val="accent4">
                  <a:lumMod val="40000"/>
                  <a:lumOff val="60000"/>
                </a:schemeClr>
              </a:solidFill>
            </a:ln>
          </c:spPr>
          <c:marker>
            <c:spPr>
              <a:solidFill>
                <a:schemeClr val="accent4">
                  <a:lumMod val="40000"/>
                  <a:lumOff val="60000"/>
                </a:schemeClr>
              </a:solidFill>
              <a:ln>
                <a:solidFill>
                  <a:schemeClr val="accent4">
                    <a:lumMod val="40000"/>
                    <a:lumOff val="60000"/>
                  </a:schemeClr>
                </a:solidFill>
              </a:ln>
            </c:spPr>
          </c:marker>
          <c:dLbls>
            <c:dLbl>
              <c:idx val="2"/>
              <c:layout>
                <c:manualLayout>
                  <c:x val="-1.4609053497942387E-2"/>
                  <c:y val="1.1713118301325825E-2"/>
                </c:manualLayout>
              </c:layout>
              <c:dLblPos val="r"/>
              <c:showLegendKey val="0"/>
              <c:showVal val="1"/>
              <c:showCatName val="0"/>
              <c:showSerName val="0"/>
              <c:showPercent val="0"/>
              <c:showBubbleSize val="0"/>
            </c:dLbl>
            <c:dLblPos val="b"/>
            <c:showLegendKey val="0"/>
            <c:showVal val="1"/>
            <c:showCatName val="0"/>
            <c:showSerName val="0"/>
            <c:showPercent val="0"/>
            <c:showBubbleSize val="0"/>
            <c:showLeaderLines val="0"/>
          </c:dLbls>
          <c:cat>
            <c:strRef>
              <c:f>Sheet2!$B$1:$O$1</c:f>
              <c:strCache>
                <c:ptCount val="14"/>
                <c:pt idx="0">
                  <c:v>Spring 2008</c:v>
                </c:pt>
                <c:pt idx="1">
                  <c:v>Fall 2008</c:v>
                </c:pt>
                <c:pt idx="2">
                  <c:v>Spring 2009</c:v>
                </c:pt>
                <c:pt idx="3">
                  <c:v>Fall 2009</c:v>
                </c:pt>
                <c:pt idx="4">
                  <c:v>Spring 2010</c:v>
                </c:pt>
                <c:pt idx="5">
                  <c:v>Fall 2010</c:v>
                </c:pt>
                <c:pt idx="6">
                  <c:v>Spring 2011</c:v>
                </c:pt>
                <c:pt idx="7">
                  <c:v>Fall 2011</c:v>
                </c:pt>
                <c:pt idx="8">
                  <c:v>Spring 2012</c:v>
                </c:pt>
                <c:pt idx="9">
                  <c:v>Fall 2012</c:v>
                </c:pt>
                <c:pt idx="10">
                  <c:v>Spring 2013</c:v>
                </c:pt>
                <c:pt idx="11">
                  <c:v>Fall 2013</c:v>
                </c:pt>
                <c:pt idx="12">
                  <c:v>Spring 2014</c:v>
                </c:pt>
                <c:pt idx="13">
                  <c:v>Fall 2014</c:v>
                </c:pt>
              </c:strCache>
            </c:strRef>
          </c:cat>
          <c:val>
            <c:numRef>
              <c:f>Sheet2!$B$2:$O$2</c:f>
              <c:numCache>
                <c:formatCode>General</c:formatCode>
                <c:ptCount val="14"/>
                <c:pt idx="0">
                  <c:v>-22</c:v>
                </c:pt>
                <c:pt idx="1">
                  <c:v>-29</c:v>
                </c:pt>
                <c:pt idx="2">
                  <c:v>-36</c:v>
                </c:pt>
                <c:pt idx="3">
                  <c:v>-13</c:v>
                </c:pt>
                <c:pt idx="4">
                  <c:v>-8</c:v>
                </c:pt>
                <c:pt idx="5">
                  <c:v>-9</c:v>
                </c:pt>
                <c:pt idx="6">
                  <c:v>1</c:v>
                </c:pt>
                <c:pt idx="7">
                  <c:v>#N/A</c:v>
                </c:pt>
                <c:pt idx="8">
                  <c:v>9</c:v>
                </c:pt>
                <c:pt idx="9">
                  <c:v>-14</c:v>
                </c:pt>
                <c:pt idx="10">
                  <c:v>-4</c:v>
                </c:pt>
                <c:pt idx="11">
                  <c:v>-3</c:v>
                </c:pt>
                <c:pt idx="12">
                  <c:v>2</c:v>
                </c:pt>
                <c:pt idx="13">
                  <c:v>8</c:v>
                </c:pt>
              </c:numCache>
            </c:numRef>
          </c:val>
          <c:smooth val="0"/>
        </c:ser>
        <c:ser>
          <c:idx val="1"/>
          <c:order val="1"/>
          <c:tx>
            <c:strRef>
              <c:f>Sheet2!$A$3</c:f>
              <c:strCache>
                <c:ptCount val="1"/>
                <c:pt idx="0">
                  <c:v>Organization/firm/business</c:v>
                </c:pt>
              </c:strCache>
            </c:strRef>
          </c:tx>
          <c:spPr>
            <a:ln>
              <a:solidFill>
                <a:schemeClr val="accent4">
                  <a:lumMod val="75000"/>
                </a:schemeClr>
              </a:solidFill>
            </a:ln>
          </c:spPr>
          <c:marker>
            <c:spPr>
              <a:solidFill>
                <a:schemeClr val="accent4">
                  <a:lumMod val="75000"/>
                </a:schemeClr>
              </a:solidFill>
              <a:ln>
                <a:solidFill>
                  <a:schemeClr val="accent4">
                    <a:lumMod val="75000"/>
                  </a:schemeClr>
                </a:solidFill>
              </a:ln>
            </c:spPr>
          </c:marker>
          <c:dLbls>
            <c:dLbl>
              <c:idx val="1"/>
              <c:layout>
                <c:manualLayout>
                  <c:x val="-1.345118079321357E-2"/>
                  <c:y val="-2.9054671255179024E-2"/>
                </c:manualLayout>
              </c:layout>
              <c:dLblPos val="r"/>
              <c:showLegendKey val="0"/>
              <c:showVal val="1"/>
              <c:showCatName val="0"/>
              <c:showSerName val="0"/>
              <c:showPercent val="0"/>
              <c:showBubbleSize val="0"/>
            </c:dLbl>
            <c:dLbl>
              <c:idx val="6"/>
              <c:layout>
                <c:manualLayout>
                  <c:x val="-3.3875147232037689E-2"/>
                  <c:y val="-3.6905502979710028E-2"/>
                </c:manualLayout>
              </c:layout>
              <c:dLblPos val="r"/>
              <c:showLegendKey val="0"/>
              <c:showVal val="1"/>
              <c:showCatName val="0"/>
              <c:showSerName val="0"/>
              <c:showPercent val="0"/>
              <c:showBubbleSize val="0"/>
            </c:dLbl>
            <c:dLbl>
              <c:idx val="8"/>
              <c:layout>
                <c:manualLayout>
                  <c:x val="-3.7073345229627595E-2"/>
                  <c:y val="-2.3977685446145799E-2"/>
                </c:manualLayout>
              </c:layout>
              <c:dLblPos val="r"/>
              <c:showLegendKey val="0"/>
              <c:showVal val="1"/>
              <c:showCatName val="0"/>
              <c:showSerName val="0"/>
              <c:showPercent val="0"/>
              <c:showBubbleSize val="0"/>
            </c:dLbl>
            <c:dLbl>
              <c:idx val="9"/>
              <c:layout>
                <c:manualLayout>
                  <c:x val="-3.1750793432912802E-2"/>
                  <c:y val="2.3547277992464963E-2"/>
                </c:manualLayout>
              </c:layout>
              <c:dLblPos val="r"/>
              <c:showLegendKey val="0"/>
              <c:showVal val="1"/>
              <c:showCatName val="0"/>
              <c:showSerName val="0"/>
              <c:showPercent val="0"/>
              <c:showBubbleSize val="0"/>
            </c:dLbl>
            <c:dLbl>
              <c:idx val="10"/>
              <c:layout>
                <c:manualLayout>
                  <c:x val="-2.1870879452271317E-3"/>
                  <c:y val="-2.5220094720636754E-4"/>
                </c:manualLayout>
              </c:layout>
              <c:dLblPos val="r"/>
              <c:showLegendKey val="0"/>
              <c:showVal val="1"/>
              <c:showCatName val="0"/>
              <c:showSerName val="0"/>
              <c:showPercent val="0"/>
              <c:showBubbleSize val="0"/>
            </c:dLbl>
            <c:dLbl>
              <c:idx val="11"/>
              <c:layout>
                <c:manualLayout>
                  <c:x val="-1.3461946416761296E-2"/>
                  <c:y val="1.5741639306156841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Sheet2!$B$1:$O$1</c:f>
              <c:strCache>
                <c:ptCount val="14"/>
                <c:pt idx="0">
                  <c:v>Spring 2008</c:v>
                </c:pt>
                <c:pt idx="1">
                  <c:v>Fall 2008</c:v>
                </c:pt>
                <c:pt idx="2">
                  <c:v>Spring 2009</c:v>
                </c:pt>
                <c:pt idx="3">
                  <c:v>Fall 2009</c:v>
                </c:pt>
                <c:pt idx="4">
                  <c:v>Spring 2010</c:v>
                </c:pt>
                <c:pt idx="5">
                  <c:v>Fall 2010</c:v>
                </c:pt>
                <c:pt idx="6">
                  <c:v>Spring 2011</c:v>
                </c:pt>
                <c:pt idx="7">
                  <c:v>Fall 2011</c:v>
                </c:pt>
                <c:pt idx="8">
                  <c:v>Spring 2012</c:v>
                </c:pt>
                <c:pt idx="9">
                  <c:v>Fall 2012</c:v>
                </c:pt>
                <c:pt idx="10">
                  <c:v>Spring 2013</c:v>
                </c:pt>
                <c:pt idx="11">
                  <c:v>Fall 2013</c:v>
                </c:pt>
                <c:pt idx="12">
                  <c:v>Spring 2014</c:v>
                </c:pt>
                <c:pt idx="13">
                  <c:v>Fall 2014</c:v>
                </c:pt>
              </c:strCache>
            </c:strRef>
          </c:cat>
          <c:val>
            <c:numRef>
              <c:f>Sheet2!$B$3:$O$3</c:f>
              <c:numCache>
                <c:formatCode>General</c:formatCode>
                <c:ptCount val="14"/>
                <c:pt idx="0">
                  <c:v>7</c:v>
                </c:pt>
                <c:pt idx="1">
                  <c:v>-6</c:v>
                </c:pt>
                <c:pt idx="2">
                  <c:v>-12</c:v>
                </c:pt>
                <c:pt idx="3">
                  <c:v>2</c:v>
                </c:pt>
                <c:pt idx="4">
                  <c:v>1</c:v>
                </c:pt>
                <c:pt idx="5">
                  <c:v>4</c:v>
                </c:pt>
                <c:pt idx="6">
                  <c:v>10</c:v>
                </c:pt>
                <c:pt idx="7">
                  <c:v>#N/A</c:v>
                </c:pt>
                <c:pt idx="8">
                  <c:v>16</c:v>
                </c:pt>
                <c:pt idx="9">
                  <c:v>2</c:v>
                </c:pt>
                <c:pt idx="10">
                  <c:v>2</c:v>
                </c:pt>
                <c:pt idx="11">
                  <c:v>11</c:v>
                </c:pt>
                <c:pt idx="12">
                  <c:v>13</c:v>
                </c:pt>
                <c:pt idx="13">
                  <c:v>14</c:v>
                </c:pt>
              </c:numCache>
            </c:numRef>
          </c:val>
          <c:smooth val="0"/>
        </c:ser>
        <c:ser>
          <c:idx val="2"/>
          <c:order val="2"/>
          <c:tx>
            <c:strRef>
              <c:f>Sheet2!$A$4</c:f>
              <c:strCache>
                <c:ptCount val="1"/>
                <c:pt idx="0">
                  <c:v>Firm's sector</c:v>
                </c:pt>
              </c:strCache>
            </c:strRef>
          </c:tx>
          <c:spPr>
            <a:ln>
              <a:solidFill>
                <a:schemeClr val="accent4">
                  <a:lumMod val="50000"/>
                </a:schemeClr>
              </a:solidFill>
            </a:ln>
          </c:spPr>
          <c:marker>
            <c:spPr>
              <a:solidFill>
                <a:schemeClr val="accent4">
                  <a:lumMod val="50000"/>
                </a:schemeClr>
              </a:solidFill>
              <a:ln>
                <a:solidFill>
                  <a:schemeClr val="accent4">
                    <a:lumMod val="50000"/>
                  </a:schemeClr>
                </a:solidFill>
              </a:ln>
            </c:spPr>
          </c:marker>
          <c:dLbls>
            <c:dLbl>
              <c:idx val="1"/>
              <c:layout>
                <c:manualLayout>
                  <c:x val="-3.7592123488525878E-2"/>
                  <c:y val="3.0927351793202971E-2"/>
                </c:manualLayout>
              </c:layout>
              <c:dLblPos val="r"/>
              <c:showLegendKey val="0"/>
              <c:showVal val="1"/>
              <c:showCatName val="0"/>
              <c:showSerName val="0"/>
              <c:showPercent val="0"/>
              <c:showBubbleSize val="0"/>
            </c:dLbl>
            <c:dLbl>
              <c:idx val="2"/>
              <c:layout>
                <c:manualLayout>
                  <c:x val="-3.7905753064543635E-2"/>
                  <c:y val="-4.4285672777987624E-2"/>
                </c:manualLayout>
              </c:layout>
              <c:dLblPos val="r"/>
              <c:showLegendKey val="0"/>
              <c:showVal val="1"/>
              <c:showCatName val="0"/>
              <c:showSerName val="0"/>
              <c:showPercent val="0"/>
              <c:showBubbleSize val="0"/>
            </c:dLbl>
            <c:dLbl>
              <c:idx val="3"/>
              <c:layout>
                <c:manualLayout>
                  <c:x val="-1.1759195710678795E-2"/>
                  <c:y val="-2.7122255474523248E-3"/>
                </c:manualLayout>
              </c:layout>
              <c:dLblPos val="r"/>
              <c:showLegendKey val="0"/>
              <c:showVal val="1"/>
              <c:showCatName val="0"/>
              <c:showSerName val="0"/>
              <c:showPercent val="0"/>
              <c:showBubbleSize val="0"/>
            </c:dLbl>
            <c:dLbl>
              <c:idx val="5"/>
              <c:layout>
                <c:manualLayout>
                  <c:x val="-4.7664536632567572E-3"/>
                  <c:y val="1.5433375183830055E-2"/>
                </c:manualLayout>
              </c:layout>
              <c:dLblPos val="r"/>
              <c:showLegendKey val="0"/>
              <c:showVal val="1"/>
              <c:showCatName val="0"/>
              <c:showSerName val="0"/>
              <c:showPercent val="0"/>
              <c:showBubbleSize val="0"/>
            </c:dLbl>
            <c:dLbl>
              <c:idx val="6"/>
              <c:layout>
                <c:manualLayout>
                  <c:x val="6.2268718177012324E-3"/>
                  <c:y val="1.0199487367476003E-2"/>
                </c:manualLayout>
              </c:layout>
              <c:dLblPos val="r"/>
              <c:showLegendKey val="0"/>
              <c:showVal val="1"/>
              <c:showCatName val="0"/>
              <c:showSerName val="0"/>
              <c:showPercent val="0"/>
              <c:showBubbleSize val="0"/>
            </c:dLbl>
            <c:dLbl>
              <c:idx val="8"/>
              <c:layout>
                <c:manualLayout>
                  <c:x val="-1.5576131687242874E-2"/>
                  <c:y val="-2.0278428793831179E-2"/>
                </c:manualLayout>
              </c:layout>
              <c:dLblPos val="r"/>
              <c:showLegendKey val="0"/>
              <c:showVal val="1"/>
              <c:showCatName val="0"/>
              <c:showSerName val="0"/>
              <c:showPercent val="0"/>
              <c:showBubbleSize val="0"/>
            </c:dLbl>
            <c:dLbl>
              <c:idx val="9"/>
              <c:layout>
                <c:manualLayout>
                  <c:x val="-6.3369287319649265E-3"/>
                  <c:y val="-4.4756334704241035E-2"/>
                </c:manualLayout>
              </c:layout>
              <c:dLblPos val="r"/>
              <c:showLegendKey val="0"/>
              <c:showVal val="1"/>
              <c:showCatName val="0"/>
              <c:showSerName val="0"/>
              <c:showPercent val="0"/>
              <c:showBubbleSize val="0"/>
            </c:dLbl>
            <c:dLbl>
              <c:idx val="11"/>
              <c:layout>
                <c:manualLayout>
                  <c:x val="-2.2285041224970555E-2"/>
                  <c:y val="-4.6123533352331936E-2"/>
                </c:manualLayout>
              </c:layout>
              <c:dLblPos val="r"/>
              <c:showLegendKey val="0"/>
              <c:showVal val="1"/>
              <c:showCatName val="0"/>
              <c:showSerName val="0"/>
              <c:showPercent val="0"/>
              <c:showBubbleSize val="0"/>
            </c:dLbl>
            <c:dLbl>
              <c:idx val="12"/>
              <c:layout>
                <c:manualLayout>
                  <c:x val="-9.1794886063269205E-3"/>
                  <c:y val="-2.518798208691592E-2"/>
                </c:manualLayout>
              </c:layout>
              <c:dLblPos val="r"/>
              <c:showLegendKey val="0"/>
              <c:showVal val="1"/>
              <c:showCatName val="0"/>
              <c:showSerName val="0"/>
              <c:showPercent val="0"/>
              <c:showBubbleSize val="0"/>
            </c:dLbl>
            <c:dLbl>
              <c:idx val="13"/>
              <c:layout>
                <c:manualLayout>
                  <c:x val="-3.4393404004712576E-3"/>
                  <c:y val="-1.210326254603091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Sheet2!$B$1:$O$1</c:f>
              <c:strCache>
                <c:ptCount val="14"/>
                <c:pt idx="0">
                  <c:v>Spring 2008</c:v>
                </c:pt>
                <c:pt idx="1">
                  <c:v>Fall 2008</c:v>
                </c:pt>
                <c:pt idx="2">
                  <c:v>Spring 2009</c:v>
                </c:pt>
                <c:pt idx="3">
                  <c:v>Fall 2009</c:v>
                </c:pt>
                <c:pt idx="4">
                  <c:v>Spring 2010</c:v>
                </c:pt>
                <c:pt idx="5">
                  <c:v>Fall 2010</c:v>
                </c:pt>
                <c:pt idx="6">
                  <c:v>Spring 2011</c:v>
                </c:pt>
                <c:pt idx="7">
                  <c:v>Fall 2011</c:v>
                </c:pt>
                <c:pt idx="8">
                  <c:v>Spring 2012</c:v>
                </c:pt>
                <c:pt idx="9">
                  <c:v>Fall 2012</c:v>
                </c:pt>
                <c:pt idx="10">
                  <c:v>Spring 2013</c:v>
                </c:pt>
                <c:pt idx="11">
                  <c:v>Fall 2013</c:v>
                </c:pt>
                <c:pt idx="12">
                  <c:v>Spring 2014</c:v>
                </c:pt>
                <c:pt idx="13">
                  <c:v>Fall 2014</c:v>
                </c:pt>
              </c:strCache>
            </c:strRef>
          </c:cat>
          <c:val>
            <c:numRef>
              <c:f>Sheet2!$B$4:$O$4</c:f>
              <c:numCache>
                <c:formatCode>General</c:formatCode>
                <c:ptCount val="14"/>
                <c:pt idx="0">
                  <c:v>-6</c:v>
                </c:pt>
                <c:pt idx="1">
                  <c:v>-11</c:v>
                </c:pt>
                <c:pt idx="2">
                  <c:v>-27</c:v>
                </c:pt>
                <c:pt idx="3">
                  <c:v>-3</c:v>
                </c:pt>
                <c:pt idx="4">
                  <c:v>7</c:v>
                </c:pt>
                <c:pt idx="5">
                  <c:v>1</c:v>
                </c:pt>
                <c:pt idx="6">
                  <c:v>9</c:v>
                </c:pt>
                <c:pt idx="7">
                  <c:v>#N/A</c:v>
                </c:pt>
                <c:pt idx="8">
                  <c:v>21</c:v>
                </c:pt>
                <c:pt idx="9">
                  <c:v>3</c:v>
                </c:pt>
                <c:pt idx="10">
                  <c:v>8</c:v>
                </c:pt>
                <c:pt idx="11">
                  <c:v>12</c:v>
                </c:pt>
                <c:pt idx="12">
                  <c:v>9</c:v>
                </c:pt>
                <c:pt idx="13">
                  <c:v>11</c:v>
                </c:pt>
              </c:numCache>
            </c:numRef>
          </c:val>
          <c:smooth val="0"/>
        </c:ser>
        <c:dLbls>
          <c:showLegendKey val="0"/>
          <c:showVal val="0"/>
          <c:showCatName val="0"/>
          <c:showSerName val="0"/>
          <c:showPercent val="0"/>
          <c:showBubbleSize val="0"/>
        </c:dLbls>
        <c:marker val="1"/>
        <c:smooth val="0"/>
        <c:axId val="32452992"/>
        <c:axId val="32454528"/>
      </c:lineChart>
      <c:catAx>
        <c:axId val="32452992"/>
        <c:scaling>
          <c:orientation val="minMax"/>
        </c:scaling>
        <c:delete val="0"/>
        <c:axPos val="b"/>
        <c:numFmt formatCode="[$-F800]dddd\,\ mmmm\ dd\,\ yyyy" sourceLinked="1"/>
        <c:majorTickMark val="none"/>
        <c:minorTickMark val="none"/>
        <c:tickLblPos val="nextTo"/>
        <c:crossAx val="32454528"/>
        <c:crossesAt val="-50"/>
        <c:auto val="1"/>
        <c:lblAlgn val="ctr"/>
        <c:lblOffset val="100"/>
        <c:noMultiLvlLbl val="0"/>
      </c:catAx>
      <c:valAx>
        <c:axId val="32454528"/>
        <c:scaling>
          <c:orientation val="minMax"/>
          <c:min val="-40"/>
        </c:scaling>
        <c:delete val="0"/>
        <c:axPos val="l"/>
        <c:numFmt formatCode="General" sourceLinked="1"/>
        <c:majorTickMark val="none"/>
        <c:minorTickMark val="none"/>
        <c:tickLblPos val="nextTo"/>
        <c:crossAx val="32452992"/>
        <c:crosses val="autoZero"/>
        <c:crossBetween val="between"/>
      </c:valAx>
    </c:plotArea>
    <c:legend>
      <c:legendPos val="b"/>
      <c:overlay val="0"/>
    </c:legend>
    <c:plotVisOnly val="1"/>
    <c:dispBlanksAs val="gap"/>
    <c:showDLblsOverMax val="0"/>
  </c:chart>
  <c:txPr>
    <a:bodyPr/>
    <a:lstStyle/>
    <a:p>
      <a:pPr>
        <a:defRPr>
          <a:latin typeface="+mn-lt"/>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Figure 2:</a:t>
            </a:r>
            <a:r>
              <a:rPr lang="en-US" sz="1200" baseline="0"/>
              <a:t> </a:t>
            </a:r>
            <a:r>
              <a:rPr lang="en-US" sz="1200"/>
              <a:t>Contributions to non-profits</a:t>
            </a:r>
          </a:p>
        </c:rich>
      </c:tx>
      <c:overlay val="0"/>
    </c:title>
    <c:autoTitleDeleted val="0"/>
    <c:plotArea>
      <c:layout>
        <c:manualLayout>
          <c:layoutTarget val="inner"/>
          <c:xMode val="edge"/>
          <c:yMode val="edge"/>
          <c:x val="5.9147865584159486E-2"/>
          <c:y val="9.5830491120630135E-2"/>
          <c:w val="0.91238636621199554"/>
          <c:h val="0.77289964408899148"/>
        </c:manualLayout>
      </c:layout>
      <c:lineChart>
        <c:grouping val="standard"/>
        <c:varyColors val="0"/>
        <c:ser>
          <c:idx val="0"/>
          <c:order val="0"/>
          <c:tx>
            <c:strRef>
              <c:f>Sheet1!$A$2</c:f>
              <c:strCache>
                <c:ptCount val="1"/>
                <c:pt idx="0">
                  <c:v>Contributions to non-profits</c:v>
                </c:pt>
              </c:strCache>
            </c:strRef>
          </c:tx>
          <c:marker>
            <c:symbol val="none"/>
          </c:marker>
          <c:dLbls>
            <c:dLbl>
              <c:idx val="0"/>
              <c:layout>
                <c:manualLayout>
                  <c:x val="-5.0938873604654843E-2"/>
                  <c:y val="-4.6260483510340053E-2"/>
                </c:manualLayout>
              </c:layout>
              <c:dLblPos val="r"/>
              <c:showLegendKey val="0"/>
              <c:showVal val="1"/>
              <c:showCatName val="0"/>
              <c:showSerName val="0"/>
              <c:showPercent val="0"/>
              <c:showBubbleSize val="0"/>
            </c:dLbl>
            <c:dLbl>
              <c:idx val="9"/>
              <c:layout>
                <c:manualLayout>
                  <c:x val="-3.4874616576542387E-2"/>
                  <c:y val="-7.9593805907543988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Sheet1!$B$1:$J$1</c:f>
              <c:strCache>
                <c:ptCount val="9"/>
                <c:pt idx="0">
                  <c:v>Fall 2010</c:v>
                </c:pt>
                <c:pt idx="1">
                  <c:v>Spring 2011</c:v>
                </c:pt>
                <c:pt idx="2">
                  <c:v>Fall 2011</c:v>
                </c:pt>
                <c:pt idx="3">
                  <c:v>Spring 2012</c:v>
                </c:pt>
                <c:pt idx="4">
                  <c:v>Fall 2012</c:v>
                </c:pt>
                <c:pt idx="5">
                  <c:v>Spring 2013</c:v>
                </c:pt>
                <c:pt idx="6">
                  <c:v>Fall 2013</c:v>
                </c:pt>
                <c:pt idx="7">
                  <c:v>Spring 2014</c:v>
                </c:pt>
                <c:pt idx="8">
                  <c:v>Fall 2014</c:v>
                </c:pt>
              </c:strCache>
            </c:strRef>
          </c:cat>
          <c:val>
            <c:numRef>
              <c:f>Sheet1!$B$2:$J$2</c:f>
              <c:numCache>
                <c:formatCode>General</c:formatCode>
                <c:ptCount val="9"/>
                <c:pt idx="0">
                  <c:v>-26</c:v>
                </c:pt>
                <c:pt idx="1">
                  <c:v>-12</c:v>
                </c:pt>
                <c:pt idx="2">
                  <c:v>#N/A</c:v>
                </c:pt>
                <c:pt idx="3">
                  <c:v>-12</c:v>
                </c:pt>
                <c:pt idx="4">
                  <c:v>-22</c:v>
                </c:pt>
                <c:pt idx="5">
                  <c:v>-22</c:v>
                </c:pt>
                <c:pt idx="6">
                  <c:v>-16</c:v>
                </c:pt>
                <c:pt idx="7">
                  <c:v>-12</c:v>
                </c:pt>
                <c:pt idx="8">
                  <c:v>-11</c:v>
                </c:pt>
              </c:numCache>
            </c:numRef>
          </c:val>
          <c:smooth val="0"/>
        </c:ser>
        <c:dLbls>
          <c:showLegendKey val="0"/>
          <c:showVal val="0"/>
          <c:showCatName val="0"/>
          <c:showSerName val="0"/>
          <c:showPercent val="0"/>
          <c:showBubbleSize val="0"/>
        </c:dLbls>
        <c:marker val="1"/>
        <c:smooth val="0"/>
        <c:axId val="32438528"/>
        <c:axId val="32641024"/>
      </c:lineChart>
      <c:catAx>
        <c:axId val="32438528"/>
        <c:scaling>
          <c:orientation val="minMax"/>
        </c:scaling>
        <c:delete val="0"/>
        <c:axPos val="b"/>
        <c:majorTickMark val="out"/>
        <c:minorTickMark val="none"/>
        <c:tickLblPos val="nextTo"/>
        <c:crossAx val="32641024"/>
        <c:crossesAt val="-40"/>
        <c:auto val="1"/>
        <c:lblAlgn val="ctr"/>
        <c:lblOffset val="100"/>
        <c:noMultiLvlLbl val="0"/>
      </c:catAx>
      <c:valAx>
        <c:axId val="32641024"/>
        <c:scaling>
          <c:orientation val="minMax"/>
          <c:max val="40"/>
          <c:min val="-40"/>
        </c:scaling>
        <c:delete val="0"/>
        <c:axPos val="l"/>
        <c:numFmt formatCode="General" sourceLinked="1"/>
        <c:majorTickMark val="out"/>
        <c:minorTickMark val="none"/>
        <c:tickLblPos val="nextTo"/>
        <c:crossAx val="3243852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Figure 3:  Expectations for Sangamon County Economic Factors</a:t>
            </a:r>
          </a:p>
        </c:rich>
      </c:tx>
      <c:overlay val="0"/>
    </c:title>
    <c:autoTitleDeleted val="0"/>
    <c:plotArea>
      <c:layout/>
      <c:barChart>
        <c:barDir val="bar"/>
        <c:grouping val="stacked"/>
        <c:varyColors val="0"/>
        <c:ser>
          <c:idx val="0"/>
          <c:order val="0"/>
          <c:tx>
            <c:strRef>
              <c:f>Sheet1!$B$2</c:f>
              <c:strCache>
                <c:ptCount val="1"/>
                <c:pt idx="0">
                  <c:v>Decline expected</c:v>
                </c:pt>
              </c:strCache>
            </c:strRef>
          </c:tx>
          <c:spPr>
            <a:solidFill>
              <a:srgbClr val="DDCAFA"/>
            </a:solidFill>
            <a:ln>
              <a:solidFill>
                <a:srgbClr val="DDCAFA"/>
              </a:solidFill>
            </a:ln>
          </c:spPr>
          <c:invertIfNegative val="0"/>
          <c:dLbls>
            <c:showLegendKey val="0"/>
            <c:showVal val="1"/>
            <c:showCatName val="0"/>
            <c:showSerName val="0"/>
            <c:showPercent val="0"/>
            <c:showBubbleSize val="0"/>
            <c:showLeaderLines val="0"/>
          </c:dLbls>
          <c:cat>
            <c:strRef>
              <c:f>Sheet1!$A$3:$A$9</c:f>
              <c:strCache>
                <c:ptCount val="7"/>
                <c:pt idx="0">
                  <c:v>Inflation/ price of goods</c:v>
                </c:pt>
                <c:pt idx="1">
                  <c:v>Interest rates</c:v>
                </c:pt>
                <c:pt idx="2">
                  <c:v>Contributions to non-profits</c:v>
                </c:pt>
                <c:pt idx="3">
                  <c:v>Capital investment</c:v>
                </c:pt>
                <c:pt idx="4">
                  <c:v>Overall employment</c:v>
                </c:pt>
                <c:pt idx="5">
                  <c:v>Gross sales/ revenue</c:v>
                </c:pt>
                <c:pt idx="6">
                  <c:v>Overall economy</c:v>
                </c:pt>
              </c:strCache>
            </c:strRef>
          </c:cat>
          <c:val>
            <c:numRef>
              <c:f>Sheet1!$B$3:$B$9</c:f>
              <c:numCache>
                <c:formatCode>0.0%</c:formatCode>
                <c:ptCount val="7"/>
                <c:pt idx="0">
                  <c:v>1.4999999999999999E-2</c:v>
                </c:pt>
                <c:pt idx="1">
                  <c:v>4.5999999999999999E-2</c:v>
                </c:pt>
                <c:pt idx="2">
                  <c:v>0.33200000000000002</c:v>
                </c:pt>
                <c:pt idx="3">
                  <c:v>0.13700000000000001</c:v>
                </c:pt>
                <c:pt idx="4">
                  <c:v>0.14599999999999999</c:v>
                </c:pt>
                <c:pt idx="5">
                  <c:v>0.127</c:v>
                </c:pt>
                <c:pt idx="6">
                  <c:v>0.20499999999999999</c:v>
                </c:pt>
              </c:numCache>
            </c:numRef>
          </c:val>
        </c:ser>
        <c:ser>
          <c:idx val="1"/>
          <c:order val="1"/>
          <c:tx>
            <c:strRef>
              <c:f>Sheet1!$C$2</c:f>
              <c:strCache>
                <c:ptCount val="1"/>
                <c:pt idx="0">
                  <c:v>Stay the same</c:v>
                </c:pt>
              </c:strCache>
            </c:strRef>
          </c:tx>
          <c:spPr>
            <a:solidFill>
              <a:srgbClr val="D3B5E9"/>
            </a:solidFill>
            <a:ln>
              <a:solidFill>
                <a:srgbClr val="D3B5E9"/>
              </a:solidFill>
            </a:ln>
          </c:spPr>
          <c:invertIfNegative val="0"/>
          <c:dLbls>
            <c:txPr>
              <a:bodyPr/>
              <a:lstStyle/>
              <a:p>
                <a:pPr>
                  <a:defRPr>
                    <a:solidFill>
                      <a:sysClr val="windowText" lastClr="000000"/>
                    </a:solidFill>
                  </a:defRPr>
                </a:pPr>
                <a:endParaRPr lang="en-US"/>
              </a:p>
            </c:txPr>
            <c:showLegendKey val="0"/>
            <c:showVal val="1"/>
            <c:showCatName val="0"/>
            <c:showSerName val="0"/>
            <c:showPercent val="0"/>
            <c:showBubbleSize val="0"/>
            <c:showLeaderLines val="0"/>
          </c:dLbls>
          <c:cat>
            <c:strRef>
              <c:f>Sheet1!$A$3:$A$9</c:f>
              <c:strCache>
                <c:ptCount val="7"/>
                <c:pt idx="0">
                  <c:v>Inflation/ price of goods</c:v>
                </c:pt>
                <c:pt idx="1">
                  <c:v>Interest rates</c:v>
                </c:pt>
                <c:pt idx="2">
                  <c:v>Contributions to non-profits</c:v>
                </c:pt>
                <c:pt idx="3">
                  <c:v>Capital investment</c:v>
                </c:pt>
                <c:pt idx="4">
                  <c:v>Overall employment</c:v>
                </c:pt>
                <c:pt idx="5">
                  <c:v>Gross sales/ revenue</c:v>
                </c:pt>
                <c:pt idx="6">
                  <c:v>Overall economy</c:v>
                </c:pt>
              </c:strCache>
            </c:strRef>
          </c:cat>
          <c:val>
            <c:numRef>
              <c:f>Sheet1!$C$3:$C$9</c:f>
              <c:numCache>
                <c:formatCode>0.0%</c:formatCode>
                <c:ptCount val="7"/>
                <c:pt idx="0">
                  <c:v>0.251</c:v>
                </c:pt>
                <c:pt idx="1">
                  <c:v>0.497</c:v>
                </c:pt>
                <c:pt idx="2">
                  <c:v>0.54</c:v>
                </c:pt>
                <c:pt idx="3">
                  <c:v>0.5</c:v>
                </c:pt>
                <c:pt idx="4">
                  <c:v>0.52400000000000002</c:v>
                </c:pt>
                <c:pt idx="5">
                  <c:v>0.376</c:v>
                </c:pt>
                <c:pt idx="6">
                  <c:v>0.434</c:v>
                </c:pt>
              </c:numCache>
            </c:numRef>
          </c:val>
        </c:ser>
        <c:ser>
          <c:idx val="2"/>
          <c:order val="2"/>
          <c:tx>
            <c:strRef>
              <c:f>Sheet1!$D$2</c:f>
              <c:strCache>
                <c:ptCount val="1"/>
                <c:pt idx="0">
                  <c:v>Increase expected</c:v>
                </c:pt>
              </c:strCache>
            </c:strRef>
          </c:tx>
          <c:spPr>
            <a:solidFill>
              <a:srgbClr val="660066"/>
            </a:solidFill>
            <a:ln>
              <a:solidFill>
                <a:srgbClr val="D3B5E9"/>
              </a:solidFill>
            </a:ln>
          </c:spPr>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Sheet1!$A$3:$A$9</c:f>
              <c:strCache>
                <c:ptCount val="7"/>
                <c:pt idx="0">
                  <c:v>Inflation/ price of goods</c:v>
                </c:pt>
                <c:pt idx="1">
                  <c:v>Interest rates</c:v>
                </c:pt>
                <c:pt idx="2">
                  <c:v>Contributions to non-profits</c:v>
                </c:pt>
                <c:pt idx="3">
                  <c:v>Capital investment</c:v>
                </c:pt>
                <c:pt idx="4">
                  <c:v>Overall employment</c:v>
                </c:pt>
                <c:pt idx="5">
                  <c:v>Gross sales/ revenue</c:v>
                </c:pt>
                <c:pt idx="6">
                  <c:v>Overall economy</c:v>
                </c:pt>
              </c:strCache>
            </c:strRef>
          </c:cat>
          <c:val>
            <c:numRef>
              <c:f>Sheet1!$D$3:$D$9</c:f>
              <c:numCache>
                <c:formatCode>0.0%</c:formatCode>
                <c:ptCount val="7"/>
                <c:pt idx="0">
                  <c:v>0.73399999999999999</c:v>
                </c:pt>
                <c:pt idx="1">
                  <c:v>0.45700000000000002</c:v>
                </c:pt>
                <c:pt idx="2">
                  <c:v>0.129</c:v>
                </c:pt>
                <c:pt idx="3">
                  <c:v>0.36199999999999999</c:v>
                </c:pt>
                <c:pt idx="4">
                  <c:v>0.33</c:v>
                </c:pt>
                <c:pt idx="5">
                  <c:v>0.497</c:v>
                </c:pt>
                <c:pt idx="6">
                  <c:v>0.36599999999999999</c:v>
                </c:pt>
              </c:numCache>
            </c:numRef>
          </c:val>
        </c:ser>
        <c:dLbls>
          <c:showLegendKey val="0"/>
          <c:showVal val="0"/>
          <c:showCatName val="0"/>
          <c:showSerName val="0"/>
          <c:showPercent val="0"/>
          <c:showBubbleSize val="0"/>
        </c:dLbls>
        <c:gapWidth val="75"/>
        <c:overlap val="100"/>
        <c:axId val="37472512"/>
        <c:axId val="37478400"/>
      </c:barChart>
      <c:catAx>
        <c:axId val="37472512"/>
        <c:scaling>
          <c:orientation val="minMax"/>
        </c:scaling>
        <c:delete val="0"/>
        <c:axPos val="l"/>
        <c:majorTickMark val="none"/>
        <c:minorTickMark val="none"/>
        <c:tickLblPos val="nextTo"/>
        <c:crossAx val="37478400"/>
        <c:crosses val="autoZero"/>
        <c:auto val="1"/>
        <c:lblAlgn val="ctr"/>
        <c:lblOffset val="100"/>
        <c:noMultiLvlLbl val="0"/>
      </c:catAx>
      <c:valAx>
        <c:axId val="37478400"/>
        <c:scaling>
          <c:orientation val="minMax"/>
          <c:max val="1"/>
        </c:scaling>
        <c:delete val="0"/>
        <c:axPos val="b"/>
        <c:numFmt formatCode="0%" sourceLinked="0"/>
        <c:majorTickMark val="none"/>
        <c:minorTickMark val="none"/>
        <c:tickLblPos val="nextTo"/>
        <c:spPr>
          <a:ln w="9525">
            <a:noFill/>
          </a:ln>
        </c:spPr>
        <c:crossAx val="37472512"/>
        <c:crosses val="autoZero"/>
        <c:crossBetween val="between"/>
        <c:majorUnit val="0.1"/>
      </c:valAx>
    </c:plotArea>
    <c:legend>
      <c:legendPos val="b"/>
      <c:overlay val="0"/>
    </c:legend>
    <c:plotVisOnly val="1"/>
    <c:dispBlanksAs val="gap"/>
    <c:showDLblsOverMax val="0"/>
  </c:chart>
  <c:txPr>
    <a:bodyPr/>
    <a:lstStyle/>
    <a:p>
      <a:pPr>
        <a:defRPr>
          <a:latin typeface="+mn-lt"/>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Figure 4:  IIS Economic expectations for most positively rated sectors 2012-current</a:t>
            </a:r>
          </a:p>
        </c:rich>
      </c:tx>
      <c:overlay val="0"/>
    </c:title>
    <c:autoTitleDeleted val="0"/>
    <c:plotArea>
      <c:layout>
        <c:manualLayout>
          <c:layoutTarget val="inner"/>
          <c:xMode val="edge"/>
          <c:yMode val="edge"/>
          <c:x val="6.8525661345471917E-2"/>
          <c:y val="0.15172103487064117"/>
          <c:w val="0.90785651793525812"/>
          <c:h val="0.65540517961570588"/>
        </c:manualLayout>
      </c:layout>
      <c:lineChart>
        <c:grouping val="standard"/>
        <c:varyColors val="0"/>
        <c:ser>
          <c:idx val="0"/>
          <c:order val="0"/>
          <c:tx>
            <c:strRef>
              <c:f>Sheet1!$A$15</c:f>
              <c:strCache>
                <c:ptCount val="1"/>
                <c:pt idx="0">
                  <c:v>Medical and Healthcare sector</c:v>
                </c:pt>
              </c:strCache>
            </c:strRef>
          </c:tx>
          <c:marker>
            <c:symbol val="none"/>
          </c:marker>
          <c:dLbls>
            <c:dLblPos val="t"/>
            <c:showLegendKey val="0"/>
            <c:showVal val="1"/>
            <c:showCatName val="0"/>
            <c:showSerName val="0"/>
            <c:showPercent val="0"/>
            <c:showBubbleSize val="0"/>
            <c:showLeaderLines val="0"/>
          </c:dLbls>
          <c:cat>
            <c:strRef>
              <c:f>Sheet1!$B$14:$G$14</c:f>
              <c:strCache>
                <c:ptCount val="6"/>
                <c:pt idx="0">
                  <c:v>Spring 2012</c:v>
                </c:pt>
                <c:pt idx="1">
                  <c:v>Fall 2012</c:v>
                </c:pt>
                <c:pt idx="2">
                  <c:v>Spring 2013</c:v>
                </c:pt>
                <c:pt idx="3">
                  <c:v>Fall 2013</c:v>
                </c:pt>
                <c:pt idx="4">
                  <c:v>Spring 2014</c:v>
                </c:pt>
                <c:pt idx="5">
                  <c:v>Fall 2014</c:v>
                </c:pt>
              </c:strCache>
            </c:strRef>
          </c:cat>
          <c:val>
            <c:numRef>
              <c:f>Sheet1!$B$15:$G$15</c:f>
              <c:numCache>
                <c:formatCode>General</c:formatCode>
                <c:ptCount val="6"/>
                <c:pt idx="0">
                  <c:v>48</c:v>
                </c:pt>
                <c:pt idx="1">
                  <c:v>38</c:v>
                </c:pt>
                <c:pt idx="2">
                  <c:v>38</c:v>
                </c:pt>
                <c:pt idx="3">
                  <c:v>39</c:v>
                </c:pt>
                <c:pt idx="4">
                  <c:v>32</c:v>
                </c:pt>
                <c:pt idx="5">
                  <c:v>41</c:v>
                </c:pt>
              </c:numCache>
            </c:numRef>
          </c:val>
          <c:smooth val="0"/>
        </c:ser>
        <c:ser>
          <c:idx val="1"/>
          <c:order val="1"/>
          <c:tx>
            <c:strRef>
              <c:f>Sheet1!$A$16</c:f>
              <c:strCache>
                <c:ptCount val="1"/>
                <c:pt idx="0">
                  <c:v>Construction sector</c:v>
                </c:pt>
              </c:strCache>
            </c:strRef>
          </c:tx>
          <c:marker>
            <c:symbol val="none"/>
          </c:marker>
          <c:dLbls>
            <c:dLbl>
              <c:idx val="1"/>
              <c:layout>
                <c:manualLayout>
                  <c:x val="-2.369305286114598E-2"/>
                  <c:y val="-2.6390911662357994E-2"/>
                </c:manualLayout>
              </c:layout>
              <c:dLblPos val="r"/>
              <c:showLegendKey val="0"/>
              <c:showVal val="1"/>
              <c:showCatName val="0"/>
              <c:showSerName val="0"/>
              <c:showPercent val="0"/>
              <c:showBubbleSize val="0"/>
            </c:dLbl>
            <c:dLbl>
              <c:idx val="3"/>
              <c:delete val="1"/>
            </c:dLbl>
            <c:dLbl>
              <c:idx val="5"/>
              <c:delete val="1"/>
            </c:dLbl>
            <c:dLblPos val="b"/>
            <c:showLegendKey val="0"/>
            <c:showVal val="1"/>
            <c:showCatName val="0"/>
            <c:showSerName val="0"/>
            <c:showPercent val="0"/>
            <c:showBubbleSize val="0"/>
            <c:showLeaderLines val="0"/>
          </c:dLbls>
          <c:cat>
            <c:strRef>
              <c:f>Sheet1!$B$14:$G$14</c:f>
              <c:strCache>
                <c:ptCount val="6"/>
                <c:pt idx="0">
                  <c:v>Spring 2012</c:v>
                </c:pt>
                <c:pt idx="1">
                  <c:v>Fall 2012</c:v>
                </c:pt>
                <c:pt idx="2">
                  <c:v>Spring 2013</c:v>
                </c:pt>
                <c:pt idx="3">
                  <c:v>Fall 2013</c:v>
                </c:pt>
                <c:pt idx="4">
                  <c:v>Spring 2014</c:v>
                </c:pt>
                <c:pt idx="5">
                  <c:v>Fall 2014</c:v>
                </c:pt>
              </c:strCache>
            </c:strRef>
          </c:cat>
          <c:val>
            <c:numRef>
              <c:f>Sheet1!$B$16:$G$16</c:f>
              <c:numCache>
                <c:formatCode>General</c:formatCode>
                <c:ptCount val="6"/>
                <c:pt idx="0">
                  <c:v>18</c:v>
                </c:pt>
                <c:pt idx="1">
                  <c:v>0</c:v>
                </c:pt>
                <c:pt idx="2">
                  <c:v>13</c:v>
                </c:pt>
                <c:pt idx="3">
                  <c:v>15</c:v>
                </c:pt>
                <c:pt idx="4">
                  <c:v>16</c:v>
                </c:pt>
                <c:pt idx="5">
                  <c:v>19</c:v>
                </c:pt>
              </c:numCache>
            </c:numRef>
          </c:val>
          <c:smooth val="0"/>
        </c:ser>
        <c:ser>
          <c:idx val="2"/>
          <c:order val="2"/>
          <c:tx>
            <c:strRef>
              <c:f>Sheet1!$A$17</c:f>
              <c:strCache>
                <c:ptCount val="1"/>
                <c:pt idx="0">
                  <c:v>Information and Communication Sector</c:v>
                </c:pt>
              </c:strCache>
            </c:strRef>
          </c:tx>
          <c:marker>
            <c:symbol val="none"/>
          </c:marker>
          <c:dLbls>
            <c:dLbl>
              <c:idx val="3"/>
              <c:layout>
                <c:manualLayout>
                  <c:x val="-2.8212560386473431E-2"/>
                  <c:y val="-4.0100250626566414E-2"/>
                </c:manualLayout>
              </c:layout>
              <c:dLblPos val="r"/>
              <c:showLegendKey val="0"/>
              <c:showVal val="1"/>
              <c:showCatName val="0"/>
              <c:showSerName val="0"/>
              <c:showPercent val="0"/>
              <c:showBubbleSize val="0"/>
            </c:dLbl>
            <c:dLbl>
              <c:idx val="4"/>
              <c:delete val="1"/>
            </c:dLbl>
            <c:dLbl>
              <c:idx val="5"/>
              <c:layout>
                <c:manualLayout>
                  <c:x val="-1.7477187332259798E-2"/>
                  <c:y val="-1.3366750208855471E-2"/>
                </c:manualLayout>
              </c:layout>
              <c:dLblPos val="r"/>
              <c:showLegendKey val="0"/>
              <c:showVal val="1"/>
              <c:showCatName val="0"/>
              <c:showSerName val="0"/>
              <c:showPercent val="0"/>
              <c:showBubbleSize val="0"/>
            </c:dLbl>
            <c:dLblPos val="l"/>
            <c:showLegendKey val="0"/>
            <c:showVal val="1"/>
            <c:showCatName val="0"/>
            <c:showSerName val="0"/>
            <c:showPercent val="0"/>
            <c:showBubbleSize val="0"/>
            <c:showLeaderLines val="0"/>
          </c:dLbls>
          <c:cat>
            <c:strRef>
              <c:f>Sheet1!$B$14:$G$14</c:f>
              <c:strCache>
                <c:ptCount val="6"/>
                <c:pt idx="0">
                  <c:v>Spring 2012</c:v>
                </c:pt>
                <c:pt idx="1">
                  <c:v>Fall 2012</c:v>
                </c:pt>
                <c:pt idx="2">
                  <c:v>Spring 2013</c:v>
                </c:pt>
                <c:pt idx="3">
                  <c:v>Fall 2013</c:v>
                </c:pt>
                <c:pt idx="4">
                  <c:v>Spring 2014</c:v>
                </c:pt>
                <c:pt idx="5">
                  <c:v>Fall 2014</c:v>
                </c:pt>
              </c:strCache>
            </c:strRef>
          </c:cat>
          <c:val>
            <c:numRef>
              <c:f>Sheet1!$B$17:$G$17</c:f>
              <c:numCache>
                <c:formatCode>General</c:formatCode>
                <c:ptCount val="6"/>
                <c:pt idx="0">
                  <c:v>12</c:v>
                </c:pt>
                <c:pt idx="1">
                  <c:v>8</c:v>
                </c:pt>
                <c:pt idx="2">
                  <c:v>15</c:v>
                </c:pt>
                <c:pt idx="3">
                  <c:v>17</c:v>
                </c:pt>
                <c:pt idx="4">
                  <c:v>16</c:v>
                </c:pt>
                <c:pt idx="5">
                  <c:v>19</c:v>
                </c:pt>
              </c:numCache>
            </c:numRef>
          </c:val>
          <c:smooth val="0"/>
        </c:ser>
        <c:ser>
          <c:idx val="3"/>
          <c:order val="3"/>
          <c:tx>
            <c:strRef>
              <c:f>Sheet1!$A$18</c:f>
              <c:strCache>
                <c:ptCount val="1"/>
                <c:pt idx="0">
                  <c:v>Financial sector</c:v>
                </c:pt>
              </c:strCache>
            </c:strRef>
          </c:tx>
          <c:marker>
            <c:symbol val="none"/>
          </c:marker>
          <c:dLbls>
            <c:dLbl>
              <c:idx val="3"/>
              <c:layout>
                <c:manualLayout>
                  <c:x val="-2.6988727858293076E-2"/>
                  <c:y val="3.6415974318999601E-2"/>
                </c:manualLayout>
              </c:layout>
              <c:dLblPos val="r"/>
              <c:showLegendKey val="0"/>
              <c:showVal val="1"/>
              <c:showCatName val="0"/>
              <c:showSerName val="0"/>
              <c:showPercent val="0"/>
              <c:showBubbleSize val="0"/>
            </c:dLbl>
            <c:dLbl>
              <c:idx val="5"/>
              <c:delete val="1"/>
            </c:dLbl>
            <c:dLblPos val="t"/>
            <c:showLegendKey val="0"/>
            <c:showVal val="1"/>
            <c:showCatName val="0"/>
            <c:showSerName val="0"/>
            <c:showPercent val="0"/>
            <c:showBubbleSize val="0"/>
            <c:showLeaderLines val="0"/>
          </c:dLbls>
          <c:cat>
            <c:strRef>
              <c:f>Sheet1!$B$14:$G$14</c:f>
              <c:strCache>
                <c:ptCount val="6"/>
                <c:pt idx="0">
                  <c:v>Spring 2012</c:v>
                </c:pt>
                <c:pt idx="1">
                  <c:v>Fall 2012</c:v>
                </c:pt>
                <c:pt idx="2">
                  <c:v>Spring 2013</c:v>
                </c:pt>
                <c:pt idx="3">
                  <c:v>Fall 2013</c:v>
                </c:pt>
                <c:pt idx="4">
                  <c:v>Spring 2014</c:v>
                </c:pt>
                <c:pt idx="5">
                  <c:v>Fall 2014</c:v>
                </c:pt>
              </c:strCache>
            </c:strRef>
          </c:cat>
          <c:val>
            <c:numRef>
              <c:f>Sheet1!$B$18:$G$18</c:f>
              <c:numCache>
                <c:formatCode>General</c:formatCode>
                <c:ptCount val="6"/>
                <c:pt idx="0">
                  <c:v>22</c:v>
                </c:pt>
                <c:pt idx="1">
                  <c:v>9</c:v>
                </c:pt>
                <c:pt idx="2">
                  <c:v>22</c:v>
                </c:pt>
                <c:pt idx="3">
                  <c:v>12</c:v>
                </c:pt>
                <c:pt idx="4">
                  <c:v>19</c:v>
                </c:pt>
                <c:pt idx="5">
                  <c:v>18</c:v>
                </c:pt>
              </c:numCache>
            </c:numRef>
          </c:val>
          <c:smooth val="0"/>
        </c:ser>
        <c:dLbls>
          <c:dLblPos val="ctr"/>
          <c:showLegendKey val="0"/>
          <c:showVal val="1"/>
          <c:showCatName val="0"/>
          <c:showSerName val="0"/>
          <c:showPercent val="0"/>
          <c:showBubbleSize val="0"/>
        </c:dLbls>
        <c:marker val="1"/>
        <c:smooth val="0"/>
        <c:axId val="37761024"/>
        <c:axId val="37762560"/>
      </c:lineChart>
      <c:catAx>
        <c:axId val="37761024"/>
        <c:scaling>
          <c:orientation val="minMax"/>
        </c:scaling>
        <c:delete val="0"/>
        <c:axPos val="b"/>
        <c:majorTickMark val="none"/>
        <c:minorTickMark val="none"/>
        <c:tickLblPos val="nextTo"/>
        <c:spPr>
          <a:ln>
            <a:solidFill>
              <a:sysClr val="windowText" lastClr="000000"/>
            </a:solidFill>
          </a:ln>
        </c:spPr>
        <c:crossAx val="37762560"/>
        <c:crosses val="autoZero"/>
        <c:auto val="1"/>
        <c:lblAlgn val="ctr"/>
        <c:lblOffset val="100"/>
        <c:noMultiLvlLbl val="0"/>
      </c:catAx>
      <c:valAx>
        <c:axId val="37762560"/>
        <c:scaling>
          <c:orientation val="minMax"/>
        </c:scaling>
        <c:delete val="0"/>
        <c:axPos val="l"/>
        <c:numFmt formatCode="General" sourceLinked="1"/>
        <c:majorTickMark val="none"/>
        <c:minorTickMark val="none"/>
        <c:tickLblPos val="nextTo"/>
        <c:spPr>
          <a:ln w="9525">
            <a:solidFill>
              <a:sysClr val="windowText" lastClr="000000"/>
            </a:solidFill>
          </a:ln>
        </c:spPr>
        <c:crossAx val="37761024"/>
        <c:crosses val="autoZero"/>
        <c:crossBetween val="between"/>
      </c:valAx>
    </c:plotArea>
    <c:legend>
      <c:legendPos val="b"/>
      <c:layout>
        <c:manualLayout>
          <c:xMode val="edge"/>
          <c:yMode val="edge"/>
          <c:x val="5.7454025976221561E-2"/>
          <c:y val="0.88749932574217694"/>
          <c:w val="0.91729789814920482"/>
          <c:h val="9.2450548944539829E-2"/>
        </c:manualLayout>
      </c:layout>
      <c:overlay val="0"/>
    </c:legend>
    <c:plotVisOnly val="1"/>
    <c:dispBlanksAs val="gap"/>
    <c:showDLblsOverMax val="0"/>
  </c:chart>
  <c:txPr>
    <a:bodyPr/>
    <a:lstStyle/>
    <a:p>
      <a:pPr>
        <a:defRPr>
          <a:latin typeface="+mn-lt"/>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Figure 5:  Expectations for Own Firm/ Business/ Organization's Economic Factors</a:t>
            </a:r>
          </a:p>
        </c:rich>
      </c:tx>
      <c:overlay val="0"/>
    </c:title>
    <c:autoTitleDeleted val="0"/>
    <c:plotArea>
      <c:layout/>
      <c:barChart>
        <c:barDir val="bar"/>
        <c:grouping val="stacked"/>
        <c:varyColors val="0"/>
        <c:ser>
          <c:idx val="0"/>
          <c:order val="0"/>
          <c:tx>
            <c:strRef>
              <c:f>Sheet1!$B$22</c:f>
              <c:strCache>
                <c:ptCount val="1"/>
                <c:pt idx="0">
                  <c:v>Decline expected</c:v>
                </c:pt>
              </c:strCache>
            </c:strRef>
          </c:tx>
          <c:spPr>
            <a:solidFill>
              <a:srgbClr val="DDCAFA"/>
            </a:solidFill>
            <a:ln>
              <a:solidFill>
                <a:srgbClr val="DDCAFA"/>
              </a:solidFill>
            </a:ln>
          </c:spPr>
          <c:invertIfNegative val="0"/>
          <c:dLbls>
            <c:dLbl>
              <c:idx val="1"/>
              <c:layout>
                <c:manualLayout>
                  <c:x val="1.6666666666666666E-2"/>
                  <c:y val="0"/>
                </c:manualLayout>
              </c:layout>
              <c:showLegendKey val="0"/>
              <c:showVal val="1"/>
              <c:showCatName val="0"/>
              <c:showSerName val="0"/>
              <c:showPercent val="0"/>
              <c:showBubbleSize val="0"/>
            </c:dLbl>
            <c:dLbl>
              <c:idx val="3"/>
              <c:layout>
                <c:manualLayout>
                  <c:x val="1.1111111111111112E-2"/>
                  <c:y val="0"/>
                </c:manualLayout>
              </c:layout>
              <c:showLegendKey val="0"/>
              <c:showVal val="1"/>
              <c:showCatName val="0"/>
              <c:showSerName val="0"/>
              <c:showPercent val="0"/>
              <c:showBubbleSize val="0"/>
            </c:dLbl>
            <c:spPr>
              <a:noFill/>
            </c:spPr>
            <c:showLegendKey val="0"/>
            <c:showVal val="1"/>
            <c:showCatName val="0"/>
            <c:showSerName val="0"/>
            <c:showPercent val="0"/>
            <c:showBubbleSize val="0"/>
            <c:showLeaderLines val="0"/>
          </c:dLbls>
          <c:cat>
            <c:strRef>
              <c:f>Sheet1!$A$23:$A$27</c:f>
              <c:strCache>
                <c:ptCount val="5"/>
                <c:pt idx="0">
                  <c:v>Gross revenue/ sales</c:v>
                </c:pt>
                <c:pt idx="1">
                  <c:v>Overall status</c:v>
                </c:pt>
                <c:pt idx="2">
                  <c:v>Profitability </c:v>
                </c:pt>
                <c:pt idx="3">
                  <c:v>Total number of employees</c:v>
                </c:pt>
                <c:pt idx="4">
                  <c:v>Capital investment</c:v>
                </c:pt>
              </c:strCache>
            </c:strRef>
          </c:cat>
          <c:val>
            <c:numRef>
              <c:f>Sheet1!$B$23:$B$27</c:f>
              <c:numCache>
                <c:formatCode>0.0%</c:formatCode>
                <c:ptCount val="5"/>
                <c:pt idx="0">
                  <c:v>0.192</c:v>
                </c:pt>
                <c:pt idx="1">
                  <c:v>0.13900000000000001</c:v>
                </c:pt>
                <c:pt idx="2">
                  <c:v>0.19700000000000001</c:v>
                </c:pt>
                <c:pt idx="3">
                  <c:v>0.13200000000000001</c:v>
                </c:pt>
                <c:pt idx="4">
                  <c:v>0.155</c:v>
                </c:pt>
              </c:numCache>
            </c:numRef>
          </c:val>
        </c:ser>
        <c:ser>
          <c:idx val="1"/>
          <c:order val="1"/>
          <c:tx>
            <c:strRef>
              <c:f>Sheet1!$C$22</c:f>
              <c:strCache>
                <c:ptCount val="1"/>
                <c:pt idx="0">
                  <c:v>Stay the same</c:v>
                </c:pt>
              </c:strCache>
            </c:strRef>
          </c:tx>
          <c:spPr>
            <a:solidFill>
              <a:srgbClr val="D3B5E9"/>
            </a:solidFill>
            <a:ln>
              <a:solidFill>
                <a:srgbClr val="D3B5E9"/>
              </a:solidFill>
            </a:ln>
          </c:spPr>
          <c:invertIfNegative val="0"/>
          <c:dLbls>
            <c:txPr>
              <a:bodyPr/>
              <a:lstStyle/>
              <a:p>
                <a:pPr>
                  <a:defRPr>
                    <a:solidFill>
                      <a:sysClr val="windowText" lastClr="000000"/>
                    </a:solidFill>
                  </a:defRPr>
                </a:pPr>
                <a:endParaRPr lang="en-US"/>
              </a:p>
            </c:txPr>
            <c:showLegendKey val="0"/>
            <c:showVal val="1"/>
            <c:showCatName val="0"/>
            <c:showSerName val="0"/>
            <c:showPercent val="0"/>
            <c:showBubbleSize val="0"/>
            <c:showLeaderLines val="0"/>
          </c:dLbls>
          <c:cat>
            <c:strRef>
              <c:f>Sheet1!$A$23:$A$27</c:f>
              <c:strCache>
                <c:ptCount val="5"/>
                <c:pt idx="0">
                  <c:v>Gross revenue/ sales</c:v>
                </c:pt>
                <c:pt idx="1">
                  <c:v>Overall status</c:v>
                </c:pt>
                <c:pt idx="2">
                  <c:v>Profitability </c:v>
                </c:pt>
                <c:pt idx="3">
                  <c:v>Total number of employees</c:v>
                </c:pt>
                <c:pt idx="4">
                  <c:v>Capital investment</c:v>
                </c:pt>
              </c:strCache>
            </c:strRef>
          </c:cat>
          <c:val>
            <c:numRef>
              <c:f>Sheet1!$C$23:$C$27</c:f>
              <c:numCache>
                <c:formatCode>0.0%</c:formatCode>
                <c:ptCount val="5"/>
                <c:pt idx="0">
                  <c:v>0.35899999999999999</c:v>
                </c:pt>
                <c:pt idx="1">
                  <c:v>0.46</c:v>
                </c:pt>
                <c:pt idx="2">
                  <c:v>0.42</c:v>
                </c:pt>
                <c:pt idx="3">
                  <c:v>0.53900000000000003</c:v>
                </c:pt>
                <c:pt idx="4">
                  <c:v>0.53500000000000003</c:v>
                </c:pt>
              </c:numCache>
            </c:numRef>
          </c:val>
        </c:ser>
        <c:ser>
          <c:idx val="2"/>
          <c:order val="2"/>
          <c:tx>
            <c:strRef>
              <c:f>Sheet1!$D$22</c:f>
              <c:strCache>
                <c:ptCount val="1"/>
                <c:pt idx="0">
                  <c:v>Increase expected</c:v>
                </c:pt>
              </c:strCache>
            </c:strRef>
          </c:tx>
          <c:spPr>
            <a:solidFill>
              <a:srgbClr val="660066"/>
            </a:solidFill>
            <a:ln>
              <a:solidFill>
                <a:srgbClr val="84347A"/>
              </a:solidFill>
            </a:ln>
          </c:spPr>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Sheet1!$A$23:$A$27</c:f>
              <c:strCache>
                <c:ptCount val="5"/>
                <c:pt idx="0">
                  <c:v>Gross revenue/ sales</c:v>
                </c:pt>
                <c:pt idx="1">
                  <c:v>Overall status</c:v>
                </c:pt>
                <c:pt idx="2">
                  <c:v>Profitability </c:v>
                </c:pt>
                <c:pt idx="3">
                  <c:v>Total number of employees</c:v>
                </c:pt>
                <c:pt idx="4">
                  <c:v>Capital investment</c:v>
                </c:pt>
              </c:strCache>
            </c:strRef>
          </c:cat>
          <c:val>
            <c:numRef>
              <c:f>Sheet1!$D$23:$D$27</c:f>
              <c:numCache>
                <c:formatCode>0.0%</c:formatCode>
                <c:ptCount val="5"/>
                <c:pt idx="0">
                  <c:v>0.44900000000000001</c:v>
                </c:pt>
                <c:pt idx="1">
                  <c:v>0.40100000000000002</c:v>
                </c:pt>
                <c:pt idx="2">
                  <c:v>0.38400000000000001</c:v>
                </c:pt>
                <c:pt idx="3">
                  <c:v>0.32900000000000001</c:v>
                </c:pt>
                <c:pt idx="4">
                  <c:v>0.31</c:v>
                </c:pt>
              </c:numCache>
            </c:numRef>
          </c:val>
        </c:ser>
        <c:dLbls>
          <c:showLegendKey val="0"/>
          <c:showVal val="0"/>
          <c:showCatName val="0"/>
          <c:showSerName val="0"/>
          <c:showPercent val="0"/>
          <c:showBubbleSize val="0"/>
        </c:dLbls>
        <c:gapWidth val="75"/>
        <c:overlap val="100"/>
        <c:axId val="38150528"/>
        <c:axId val="38152064"/>
      </c:barChart>
      <c:catAx>
        <c:axId val="38150528"/>
        <c:scaling>
          <c:orientation val="minMax"/>
        </c:scaling>
        <c:delete val="0"/>
        <c:axPos val="l"/>
        <c:majorTickMark val="none"/>
        <c:minorTickMark val="none"/>
        <c:tickLblPos val="nextTo"/>
        <c:spPr>
          <a:ln>
            <a:solidFill>
              <a:sysClr val="windowText" lastClr="000000"/>
            </a:solidFill>
          </a:ln>
        </c:spPr>
        <c:crossAx val="38152064"/>
        <c:crosses val="autoZero"/>
        <c:auto val="1"/>
        <c:lblAlgn val="ctr"/>
        <c:lblOffset val="100"/>
        <c:noMultiLvlLbl val="0"/>
      </c:catAx>
      <c:valAx>
        <c:axId val="38152064"/>
        <c:scaling>
          <c:orientation val="minMax"/>
          <c:max val="1"/>
        </c:scaling>
        <c:delete val="0"/>
        <c:axPos val="b"/>
        <c:numFmt formatCode="0%" sourceLinked="0"/>
        <c:majorTickMark val="none"/>
        <c:minorTickMark val="none"/>
        <c:tickLblPos val="nextTo"/>
        <c:spPr>
          <a:ln w="9525">
            <a:solidFill>
              <a:sysClr val="windowText" lastClr="000000"/>
            </a:solidFill>
          </a:ln>
        </c:spPr>
        <c:crossAx val="38150528"/>
        <c:crosses val="autoZero"/>
        <c:crossBetween val="between"/>
        <c:majorUnit val="0.1"/>
      </c:valAx>
    </c:plotArea>
    <c:legend>
      <c:legendPos val="b"/>
      <c:overlay val="0"/>
    </c:legend>
    <c:plotVisOnly val="1"/>
    <c:dispBlanksAs val="gap"/>
    <c:showDLblsOverMax val="0"/>
  </c:chart>
  <c:spPr>
    <a:ln>
      <a:solidFill>
        <a:sysClr val="windowText" lastClr="000000"/>
      </a:solidFill>
    </a:ln>
  </c:spPr>
  <c:txPr>
    <a:bodyPr/>
    <a:lstStyle/>
    <a:p>
      <a:pPr>
        <a:defRPr>
          <a:latin typeface="+mn-lt"/>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Figure 6:  Three Biggest Challenges by sector</a:t>
            </a:r>
          </a:p>
        </c:rich>
      </c:tx>
      <c:overlay val="1"/>
    </c:title>
    <c:autoTitleDeleted val="0"/>
    <c:plotArea>
      <c:layout>
        <c:manualLayout>
          <c:layoutTarget val="inner"/>
          <c:xMode val="edge"/>
          <c:yMode val="edge"/>
          <c:x val="8.0065886564663097E-2"/>
          <c:y val="0.11231071978140854"/>
          <c:w val="0.87801604001434519"/>
          <c:h val="0.7014599099088149"/>
        </c:manualLayout>
      </c:layout>
      <c:barChart>
        <c:barDir val="col"/>
        <c:grouping val="clustered"/>
        <c:varyColors val="0"/>
        <c:ser>
          <c:idx val="0"/>
          <c:order val="0"/>
          <c:tx>
            <c:strRef>
              <c:f>Sheet1!$A$31</c:f>
              <c:strCache>
                <c:ptCount val="1"/>
                <c:pt idx="0">
                  <c:v>Private sector</c:v>
                </c:pt>
              </c:strCache>
            </c:strRef>
          </c:tx>
          <c:spPr>
            <a:solidFill>
              <a:srgbClr val="DDCAFA"/>
            </a:solidFill>
            <a:ln>
              <a:solidFill>
                <a:srgbClr val="D3B5E9"/>
              </a:solidFill>
            </a:ln>
          </c:spPr>
          <c:invertIfNegative val="0"/>
          <c:dLbls>
            <c:dLblPos val="outEnd"/>
            <c:showLegendKey val="0"/>
            <c:showVal val="1"/>
            <c:showCatName val="0"/>
            <c:showSerName val="0"/>
            <c:showPercent val="0"/>
            <c:showBubbleSize val="0"/>
            <c:showLeaderLines val="0"/>
          </c:dLbls>
          <c:cat>
            <c:strRef>
              <c:f>Sheet1!$B$30:$D$30</c:f>
              <c:strCache>
                <c:ptCount val="3"/>
                <c:pt idx="0">
                  <c:v>Government regulations and taxation</c:v>
                </c:pt>
                <c:pt idx="1">
                  <c:v>Healthcare for employees</c:v>
                </c:pt>
                <c:pt idx="2">
                  <c:v>State government finances</c:v>
                </c:pt>
              </c:strCache>
            </c:strRef>
          </c:cat>
          <c:val>
            <c:numRef>
              <c:f>Sheet1!$B$31:$D$31</c:f>
              <c:numCache>
                <c:formatCode>0.0%</c:formatCode>
                <c:ptCount val="3"/>
                <c:pt idx="0">
                  <c:v>0.64200000000000002</c:v>
                </c:pt>
                <c:pt idx="1">
                  <c:v>0.745</c:v>
                </c:pt>
                <c:pt idx="2">
                  <c:v>0.42599999999999999</c:v>
                </c:pt>
              </c:numCache>
            </c:numRef>
          </c:val>
        </c:ser>
        <c:ser>
          <c:idx val="1"/>
          <c:order val="1"/>
          <c:tx>
            <c:strRef>
              <c:f>Sheet1!$A$32</c:f>
              <c:strCache>
                <c:ptCount val="1"/>
                <c:pt idx="0">
                  <c:v>Non-profit sector</c:v>
                </c:pt>
              </c:strCache>
            </c:strRef>
          </c:tx>
          <c:spPr>
            <a:solidFill>
              <a:srgbClr val="BF95DF"/>
            </a:solidFill>
            <a:ln>
              <a:solidFill>
                <a:srgbClr val="D3B5E9"/>
              </a:solidFill>
            </a:ln>
          </c:spPr>
          <c:invertIfNegative val="0"/>
          <c:dLbls>
            <c:dLblPos val="outEnd"/>
            <c:showLegendKey val="0"/>
            <c:showVal val="1"/>
            <c:showCatName val="0"/>
            <c:showSerName val="0"/>
            <c:showPercent val="0"/>
            <c:showBubbleSize val="0"/>
            <c:showLeaderLines val="0"/>
          </c:dLbls>
          <c:cat>
            <c:strRef>
              <c:f>Sheet1!$B$30:$D$30</c:f>
              <c:strCache>
                <c:ptCount val="3"/>
                <c:pt idx="0">
                  <c:v>Government regulations and taxation</c:v>
                </c:pt>
                <c:pt idx="1">
                  <c:v>Healthcare for employees</c:v>
                </c:pt>
                <c:pt idx="2">
                  <c:v>State government finances</c:v>
                </c:pt>
              </c:strCache>
            </c:strRef>
          </c:cat>
          <c:val>
            <c:numRef>
              <c:f>Sheet1!$B$32:$D$32</c:f>
              <c:numCache>
                <c:formatCode>0.0%</c:formatCode>
                <c:ptCount val="3"/>
                <c:pt idx="0">
                  <c:v>0.23899999999999999</c:v>
                </c:pt>
                <c:pt idx="1">
                  <c:v>0.11700000000000001</c:v>
                </c:pt>
                <c:pt idx="2">
                  <c:v>0.23499999999999999</c:v>
                </c:pt>
              </c:numCache>
            </c:numRef>
          </c:val>
        </c:ser>
        <c:ser>
          <c:idx val="2"/>
          <c:order val="2"/>
          <c:tx>
            <c:strRef>
              <c:f>Sheet1!$A$33</c:f>
              <c:strCache>
                <c:ptCount val="1"/>
                <c:pt idx="0">
                  <c:v>Public sector</c:v>
                </c:pt>
              </c:strCache>
            </c:strRef>
          </c:tx>
          <c:spPr>
            <a:solidFill>
              <a:srgbClr val="84347A"/>
            </a:solidFill>
            <a:ln>
              <a:solidFill>
                <a:srgbClr val="660066"/>
              </a:solidFill>
            </a:ln>
          </c:spPr>
          <c:invertIfNegative val="0"/>
          <c:dLbls>
            <c:dLblPos val="outEnd"/>
            <c:showLegendKey val="0"/>
            <c:showVal val="1"/>
            <c:showCatName val="0"/>
            <c:showSerName val="0"/>
            <c:showPercent val="0"/>
            <c:showBubbleSize val="0"/>
            <c:showLeaderLines val="0"/>
          </c:dLbls>
          <c:cat>
            <c:strRef>
              <c:f>Sheet1!$B$30:$D$30</c:f>
              <c:strCache>
                <c:ptCount val="3"/>
                <c:pt idx="0">
                  <c:v>Government regulations and taxation</c:v>
                </c:pt>
                <c:pt idx="1">
                  <c:v>Healthcare for employees</c:v>
                </c:pt>
                <c:pt idx="2">
                  <c:v>State government finances</c:v>
                </c:pt>
              </c:strCache>
            </c:strRef>
          </c:cat>
          <c:val>
            <c:numRef>
              <c:f>Sheet1!$B$33:$D$33</c:f>
              <c:numCache>
                <c:formatCode>0.0%</c:formatCode>
                <c:ptCount val="3"/>
                <c:pt idx="0">
                  <c:v>0.11899999999999999</c:v>
                </c:pt>
                <c:pt idx="1">
                  <c:v>0.13800000000000001</c:v>
                </c:pt>
                <c:pt idx="2">
                  <c:v>0.33800000000000002</c:v>
                </c:pt>
              </c:numCache>
            </c:numRef>
          </c:val>
        </c:ser>
        <c:dLbls>
          <c:showLegendKey val="0"/>
          <c:showVal val="0"/>
          <c:showCatName val="0"/>
          <c:showSerName val="0"/>
          <c:showPercent val="0"/>
          <c:showBubbleSize val="0"/>
        </c:dLbls>
        <c:gapWidth val="150"/>
        <c:axId val="38171392"/>
        <c:axId val="38172928"/>
      </c:barChart>
      <c:catAx>
        <c:axId val="38171392"/>
        <c:scaling>
          <c:orientation val="minMax"/>
        </c:scaling>
        <c:delete val="0"/>
        <c:axPos val="b"/>
        <c:majorTickMark val="out"/>
        <c:minorTickMark val="none"/>
        <c:tickLblPos val="nextTo"/>
        <c:crossAx val="38172928"/>
        <c:crosses val="autoZero"/>
        <c:auto val="1"/>
        <c:lblAlgn val="ctr"/>
        <c:lblOffset val="100"/>
        <c:noMultiLvlLbl val="0"/>
      </c:catAx>
      <c:valAx>
        <c:axId val="38172928"/>
        <c:scaling>
          <c:orientation val="minMax"/>
        </c:scaling>
        <c:delete val="0"/>
        <c:axPos val="l"/>
        <c:numFmt formatCode="0%" sourceLinked="0"/>
        <c:majorTickMark val="out"/>
        <c:minorTickMark val="none"/>
        <c:tickLblPos val="nextTo"/>
        <c:crossAx val="38171392"/>
        <c:crosses val="autoZero"/>
        <c:crossBetween val="between"/>
      </c:valAx>
    </c:plotArea>
    <c:legend>
      <c:legendPos val="r"/>
      <c:layout>
        <c:manualLayout>
          <c:xMode val="edge"/>
          <c:yMode val="edge"/>
          <c:x val="0.17936366781238197"/>
          <c:y val="0.91646722708278128"/>
          <c:w val="0.65134975419487318"/>
          <c:h val="8.168190470170969E-2"/>
        </c:manualLayout>
      </c:layout>
      <c:overlay val="0"/>
    </c:legend>
    <c:plotVisOnly val="1"/>
    <c:dispBlanksAs val="gap"/>
    <c:showDLblsOverMax val="0"/>
  </c:chart>
  <c:txPr>
    <a:bodyPr/>
    <a:lstStyle/>
    <a:p>
      <a:pPr>
        <a:defRPr sz="1000">
          <a:latin typeface="+mn-lt"/>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Figure 7: The assets and liabilities for doing</a:t>
            </a:r>
            <a:r>
              <a:rPr lang="en-US" sz="1200" baseline="0"/>
              <a:t> business in Sangamon County</a:t>
            </a:r>
            <a:endParaRPr lang="en-US" sz="1200"/>
          </a:p>
        </c:rich>
      </c:tx>
      <c:layout>
        <c:manualLayout>
          <c:xMode val="edge"/>
          <c:yMode val="edge"/>
          <c:x val="0.14951373379786195"/>
          <c:y val="3.5164835164835165E-2"/>
        </c:manualLayout>
      </c:layout>
      <c:overlay val="1"/>
    </c:title>
    <c:autoTitleDeleted val="0"/>
    <c:plotArea>
      <c:layout>
        <c:manualLayout>
          <c:layoutTarget val="inner"/>
          <c:xMode val="edge"/>
          <c:yMode val="edge"/>
          <c:x val="4.9319669725238963E-2"/>
          <c:y val="3.1880014998125233E-2"/>
          <c:w val="0.9398488154944975"/>
          <c:h val="0.7438802457385133"/>
        </c:manualLayout>
      </c:layout>
      <c:barChart>
        <c:barDir val="col"/>
        <c:grouping val="clustered"/>
        <c:varyColors val="0"/>
        <c:ser>
          <c:idx val="0"/>
          <c:order val="0"/>
          <c:spPr>
            <a:solidFill>
              <a:srgbClr val="84347A"/>
            </a:solidFill>
            <a:ln>
              <a:solidFill>
                <a:srgbClr val="CC99FF"/>
              </a:solidFill>
            </a:ln>
          </c:spPr>
          <c:invertIfNegative val="0"/>
          <c:dPt>
            <c:idx val="0"/>
            <c:invertIfNegative val="0"/>
            <c:bubble3D val="0"/>
            <c:spPr>
              <a:solidFill>
                <a:srgbClr val="BF95DF"/>
              </a:solidFill>
              <a:ln>
                <a:solidFill>
                  <a:srgbClr val="CC99FF"/>
                </a:solidFill>
              </a:ln>
            </c:spPr>
          </c:dPt>
          <c:dPt>
            <c:idx val="1"/>
            <c:invertIfNegative val="0"/>
            <c:bubble3D val="0"/>
            <c:spPr>
              <a:solidFill>
                <a:srgbClr val="BF95DF"/>
              </a:solidFill>
              <a:ln>
                <a:solidFill>
                  <a:srgbClr val="CC99FF"/>
                </a:solidFill>
              </a:ln>
            </c:spPr>
          </c:dPt>
          <c:dPt>
            <c:idx val="2"/>
            <c:invertIfNegative val="0"/>
            <c:bubble3D val="0"/>
            <c:spPr>
              <a:solidFill>
                <a:srgbClr val="7030A0"/>
              </a:solidFill>
              <a:ln>
                <a:solidFill>
                  <a:srgbClr val="7030A0"/>
                </a:solidFill>
              </a:ln>
            </c:spPr>
          </c:dPt>
          <c:dPt>
            <c:idx val="3"/>
            <c:invertIfNegative val="0"/>
            <c:bubble3D val="0"/>
            <c:spPr>
              <a:solidFill>
                <a:srgbClr val="7030A0"/>
              </a:solidFill>
              <a:ln>
                <a:solidFill>
                  <a:srgbClr val="7030A0"/>
                </a:solidFill>
              </a:ln>
            </c:spPr>
          </c:dPt>
          <c:dPt>
            <c:idx val="4"/>
            <c:invertIfNegative val="0"/>
            <c:bubble3D val="0"/>
            <c:spPr>
              <a:solidFill>
                <a:srgbClr val="7030A0"/>
              </a:solidFill>
              <a:ln>
                <a:solidFill>
                  <a:srgbClr val="7030A0"/>
                </a:solidFill>
              </a:ln>
            </c:spPr>
          </c:dPt>
          <c:dPt>
            <c:idx val="5"/>
            <c:invertIfNegative val="0"/>
            <c:bubble3D val="0"/>
            <c:spPr>
              <a:solidFill>
                <a:srgbClr val="7030A0"/>
              </a:solidFill>
              <a:ln>
                <a:solidFill>
                  <a:srgbClr val="7030A0"/>
                </a:solidFill>
              </a:ln>
            </c:spPr>
          </c:dPt>
          <c:dPt>
            <c:idx val="6"/>
            <c:invertIfNegative val="0"/>
            <c:bubble3D val="0"/>
            <c:spPr>
              <a:solidFill>
                <a:srgbClr val="7030A0"/>
              </a:solidFill>
              <a:ln>
                <a:solidFill>
                  <a:srgbClr val="7030A0"/>
                </a:solidFill>
              </a:ln>
            </c:spPr>
          </c:dPt>
          <c:dLbls>
            <c:dLblPos val="outEnd"/>
            <c:showLegendKey val="0"/>
            <c:showVal val="1"/>
            <c:showCatName val="0"/>
            <c:showSerName val="0"/>
            <c:showPercent val="0"/>
            <c:showBubbleSize val="0"/>
            <c:showLeaderLines val="0"/>
          </c:dLbls>
          <c:cat>
            <c:strRef>
              <c:f>Sheet4!$A$1:$A$7</c:f>
              <c:strCache>
                <c:ptCount val="7"/>
                <c:pt idx="0">
                  <c:v>Health care facilities and quality</c:v>
                </c:pt>
                <c:pt idx="1">
                  <c:v>Proximity to colleges</c:v>
                </c:pt>
                <c:pt idx="2">
                  <c:v>State permits and regulations</c:v>
                </c:pt>
                <c:pt idx="3">
                  <c:v>Total local taxes on business</c:v>
                </c:pt>
                <c:pt idx="4">
                  <c:v>State business climate </c:v>
                </c:pt>
                <c:pt idx="5">
                  <c:v>Workers compensation</c:v>
                </c:pt>
                <c:pt idx="6">
                  <c:v>Total state taxes on business</c:v>
                </c:pt>
              </c:strCache>
            </c:strRef>
          </c:cat>
          <c:val>
            <c:numRef>
              <c:f>Sheet4!$B$1:$B$7</c:f>
              <c:numCache>
                <c:formatCode>General</c:formatCode>
                <c:ptCount val="7"/>
                <c:pt idx="0">
                  <c:v>1.96</c:v>
                </c:pt>
                <c:pt idx="1">
                  <c:v>2.35</c:v>
                </c:pt>
                <c:pt idx="2">
                  <c:v>3.65</c:v>
                </c:pt>
                <c:pt idx="3">
                  <c:v>3.72</c:v>
                </c:pt>
                <c:pt idx="4">
                  <c:v>3.81</c:v>
                </c:pt>
                <c:pt idx="5">
                  <c:v>3.82</c:v>
                </c:pt>
                <c:pt idx="6">
                  <c:v>4</c:v>
                </c:pt>
              </c:numCache>
            </c:numRef>
          </c:val>
        </c:ser>
        <c:dLbls>
          <c:showLegendKey val="0"/>
          <c:showVal val="0"/>
          <c:showCatName val="0"/>
          <c:showSerName val="0"/>
          <c:showPercent val="0"/>
          <c:showBubbleSize val="0"/>
        </c:dLbls>
        <c:gapWidth val="150"/>
        <c:axId val="38222080"/>
        <c:axId val="38232064"/>
      </c:barChart>
      <c:catAx>
        <c:axId val="38222080"/>
        <c:scaling>
          <c:orientation val="minMax"/>
        </c:scaling>
        <c:delete val="0"/>
        <c:axPos val="b"/>
        <c:majorTickMark val="out"/>
        <c:minorTickMark val="none"/>
        <c:tickLblPos val="nextTo"/>
        <c:txPr>
          <a:bodyPr/>
          <a:lstStyle/>
          <a:p>
            <a:pPr>
              <a:defRPr sz="900"/>
            </a:pPr>
            <a:endParaRPr lang="en-US"/>
          </a:p>
        </c:txPr>
        <c:crossAx val="38232064"/>
        <c:crosses val="autoZero"/>
        <c:auto val="1"/>
        <c:lblAlgn val="ctr"/>
        <c:lblOffset val="100"/>
        <c:noMultiLvlLbl val="0"/>
      </c:catAx>
      <c:valAx>
        <c:axId val="38232064"/>
        <c:scaling>
          <c:orientation val="minMax"/>
          <c:max val="5"/>
          <c:min val="1"/>
        </c:scaling>
        <c:delete val="0"/>
        <c:axPos val="l"/>
        <c:numFmt formatCode="#,##0" sourceLinked="0"/>
        <c:majorTickMark val="out"/>
        <c:minorTickMark val="none"/>
        <c:tickLblPos val="nextTo"/>
        <c:crossAx val="38222080"/>
        <c:crosses val="autoZero"/>
        <c:crossBetween val="between"/>
        <c:majorUnit val="1"/>
      </c:valAx>
    </c:plotArea>
    <c:plotVisOnly val="1"/>
    <c:dispBlanksAs val="gap"/>
    <c:showDLblsOverMax val="0"/>
  </c:chart>
  <c:txPr>
    <a:bodyPr/>
    <a:lstStyle/>
    <a:p>
      <a:pPr>
        <a:defRPr>
          <a:latin typeface="+mn-lt"/>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Figure 8: What is the</a:t>
            </a:r>
            <a:r>
              <a:rPr lang="en-US" sz="1200" baseline="0"/>
              <a:t> economic impact of the Illinois State Fair  on your business?</a:t>
            </a:r>
            <a:endParaRPr lang="en-US" sz="1200"/>
          </a:p>
        </c:rich>
      </c:tx>
      <c:layout>
        <c:manualLayout>
          <c:xMode val="edge"/>
          <c:yMode val="edge"/>
          <c:x val="0.11080783441395668"/>
          <c:y val="2.4054982817869417E-2"/>
        </c:manualLayout>
      </c:layout>
      <c:overlay val="1"/>
    </c:title>
    <c:autoTitleDeleted val="0"/>
    <c:plotArea>
      <c:layout>
        <c:manualLayout>
          <c:layoutTarget val="inner"/>
          <c:xMode val="edge"/>
          <c:yMode val="edge"/>
          <c:x val="6.9364981062760414E-2"/>
          <c:y val="0.11231071978140854"/>
          <c:w val="0.88871694408985391"/>
          <c:h val="0.7495697702735612"/>
        </c:manualLayout>
      </c:layout>
      <c:barChart>
        <c:barDir val="col"/>
        <c:grouping val="clustered"/>
        <c:varyColors val="0"/>
        <c:ser>
          <c:idx val="0"/>
          <c:order val="0"/>
          <c:spPr>
            <a:solidFill>
              <a:srgbClr val="84347A"/>
            </a:solidFill>
            <a:ln>
              <a:solidFill>
                <a:srgbClr val="D3B5E9"/>
              </a:solidFill>
            </a:ln>
          </c:spPr>
          <c:invertIfNegative val="0"/>
          <c:dLbls>
            <c:dLblPos val="outEnd"/>
            <c:showLegendKey val="0"/>
            <c:showVal val="1"/>
            <c:showCatName val="0"/>
            <c:showSerName val="0"/>
            <c:showPercent val="0"/>
            <c:showBubbleSize val="0"/>
            <c:showLeaderLines val="0"/>
          </c:dLbls>
          <c:cat>
            <c:strRef>
              <c:f>Sheet3!$A$1:$A$5</c:f>
              <c:strCache>
                <c:ptCount val="5"/>
                <c:pt idx="0">
                  <c:v>No economic impact</c:v>
                </c:pt>
                <c:pt idx="1">
                  <c:v>Less than $15,000</c:v>
                </c:pt>
                <c:pt idx="2">
                  <c:v>Between $15,000 and $30,000</c:v>
                </c:pt>
                <c:pt idx="3">
                  <c:v>Between $30,001 and $50,000</c:v>
                </c:pt>
                <c:pt idx="4">
                  <c:v>More than $50,000</c:v>
                </c:pt>
              </c:strCache>
            </c:strRef>
          </c:cat>
          <c:val>
            <c:numRef>
              <c:f>Sheet3!$B$1:$B$5</c:f>
              <c:numCache>
                <c:formatCode>0.0%</c:formatCode>
                <c:ptCount val="5"/>
                <c:pt idx="0">
                  <c:v>0.77800000000000002</c:v>
                </c:pt>
                <c:pt idx="1">
                  <c:v>0.13800000000000001</c:v>
                </c:pt>
                <c:pt idx="2">
                  <c:v>4.9000000000000002E-2</c:v>
                </c:pt>
                <c:pt idx="3">
                  <c:v>1.4999999999999999E-2</c:v>
                </c:pt>
                <c:pt idx="4">
                  <c:v>0.01</c:v>
                </c:pt>
              </c:numCache>
            </c:numRef>
          </c:val>
        </c:ser>
        <c:dLbls>
          <c:showLegendKey val="0"/>
          <c:showVal val="0"/>
          <c:showCatName val="0"/>
          <c:showSerName val="0"/>
          <c:showPercent val="0"/>
          <c:showBubbleSize val="0"/>
        </c:dLbls>
        <c:gapWidth val="150"/>
        <c:axId val="38286080"/>
        <c:axId val="38287616"/>
      </c:barChart>
      <c:catAx>
        <c:axId val="38286080"/>
        <c:scaling>
          <c:orientation val="minMax"/>
        </c:scaling>
        <c:delete val="0"/>
        <c:axPos val="b"/>
        <c:majorTickMark val="out"/>
        <c:minorTickMark val="none"/>
        <c:tickLblPos val="nextTo"/>
        <c:crossAx val="38287616"/>
        <c:crosses val="autoZero"/>
        <c:auto val="1"/>
        <c:lblAlgn val="ctr"/>
        <c:lblOffset val="100"/>
        <c:noMultiLvlLbl val="0"/>
      </c:catAx>
      <c:valAx>
        <c:axId val="38287616"/>
        <c:scaling>
          <c:orientation val="minMax"/>
        </c:scaling>
        <c:delete val="0"/>
        <c:axPos val="l"/>
        <c:numFmt formatCode="0%" sourceLinked="0"/>
        <c:majorTickMark val="out"/>
        <c:minorTickMark val="none"/>
        <c:tickLblPos val="nextTo"/>
        <c:crossAx val="38286080"/>
        <c:crosses val="autoZero"/>
        <c:crossBetween val="between"/>
      </c:valAx>
    </c:plotArea>
    <c:plotVisOnly val="1"/>
    <c:dispBlanksAs val="gap"/>
    <c:showDLblsOverMax val="0"/>
  </c:chart>
  <c:txPr>
    <a:bodyPr/>
    <a:lstStyle/>
    <a:p>
      <a:pPr>
        <a:defRPr>
          <a:latin typeface="+mn-lt"/>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0.3517</cdr:x>
      <cdr:y>0.92308</cdr:y>
    </cdr:from>
    <cdr:to>
      <cdr:x>0.38412</cdr:x>
      <cdr:y>0.94945</cdr:y>
    </cdr:to>
    <cdr:sp macro="" textlink="">
      <cdr:nvSpPr>
        <cdr:cNvPr id="2" name="Rectangle 1"/>
        <cdr:cNvSpPr/>
      </cdr:nvSpPr>
      <cdr:spPr>
        <a:xfrm xmlns:a="http://schemas.openxmlformats.org/drawingml/2006/main">
          <a:off x="2066925" y="4000500"/>
          <a:ext cx="190500" cy="114300"/>
        </a:xfrm>
        <a:prstGeom xmlns:a="http://schemas.openxmlformats.org/drawingml/2006/main" prst="rect">
          <a:avLst/>
        </a:prstGeom>
        <a:solidFill xmlns:a="http://schemas.openxmlformats.org/drawingml/2006/main">
          <a:srgbClr val="CC99FF"/>
        </a:solidFill>
        <a:ln xmlns:a="http://schemas.openxmlformats.org/drawingml/2006/main">
          <a:solidFill>
            <a:srgbClr val="CC99FF"/>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0.63533</cdr:x>
      <cdr:y>0.92381</cdr:y>
    </cdr:from>
    <cdr:to>
      <cdr:x>0.66775</cdr:x>
      <cdr:y>0.95018</cdr:y>
    </cdr:to>
    <cdr:sp macro="" textlink="">
      <cdr:nvSpPr>
        <cdr:cNvPr id="3" name="Rectangle 2"/>
        <cdr:cNvSpPr/>
      </cdr:nvSpPr>
      <cdr:spPr>
        <a:xfrm xmlns:a="http://schemas.openxmlformats.org/drawingml/2006/main">
          <a:off x="3733800" y="4003675"/>
          <a:ext cx="190500" cy="114300"/>
        </a:xfrm>
        <a:prstGeom xmlns:a="http://schemas.openxmlformats.org/drawingml/2006/main" prst="rect">
          <a:avLst/>
        </a:prstGeom>
        <a:solidFill xmlns:a="http://schemas.openxmlformats.org/drawingml/2006/main">
          <a:srgbClr val="7030A0"/>
        </a:solidFill>
        <a:ln xmlns:a="http://schemas.openxmlformats.org/drawingml/2006/main">
          <a:solidFill>
            <a:srgbClr val="7030A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A46ED-907E-4529-96CF-26E986FD9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31</Pages>
  <Words>5507</Words>
  <Characters>31392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University of Illinois Springfield</Company>
  <LinksUpToDate>false</LinksUpToDate>
  <CharactersWithSpaces>36826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Denise D</dc:creator>
  <cp:lastModifiedBy>Ashley Kirzinger</cp:lastModifiedBy>
  <cp:revision>13</cp:revision>
  <cp:lastPrinted>2014-09-26T17:17:00Z</cp:lastPrinted>
  <dcterms:created xsi:type="dcterms:W3CDTF">2014-09-25T14:51:00Z</dcterms:created>
  <dcterms:modified xsi:type="dcterms:W3CDTF">2014-09-26T17:17:00Z</dcterms:modified>
</cp:coreProperties>
</file>